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78" w:rsidRDefault="00B53D78" w:rsidP="00B53D78">
      <w:pPr>
        <w:rPr>
          <w:rFonts w:cs="Arial"/>
        </w:rPr>
      </w:pPr>
      <w:bookmarkStart w:id="0" w:name="_GoBack"/>
      <w:bookmarkEnd w:id="0"/>
    </w:p>
    <w:tbl>
      <w:tblPr>
        <w:tblW w:w="0" w:type="auto"/>
        <w:tblInd w:w="134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930"/>
        <w:gridCol w:w="1208"/>
        <w:gridCol w:w="1021"/>
        <w:gridCol w:w="2592"/>
        <w:gridCol w:w="2316"/>
        <w:gridCol w:w="3276"/>
      </w:tblGrid>
      <w:tr w:rsidR="00944001" w:rsidRPr="00944001" w:rsidTr="00905C40">
        <w:trPr>
          <w:trHeight w:val="75"/>
          <w:tblHeader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A196C">
              <w:rPr>
                <w:rFonts w:cs="Arial"/>
                <w:b/>
                <w:sz w:val="16"/>
                <w:szCs w:val="16"/>
              </w:rPr>
              <w:t>#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8"/>
              </w:rPr>
              <w:t>Descripción de la no conformidad / Evidencia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6"/>
              </w:rPr>
            </w:pPr>
            <w:r w:rsidRPr="00BA196C">
              <w:rPr>
                <w:rFonts w:cs="Arial"/>
                <w:b/>
                <w:sz w:val="16"/>
              </w:rPr>
              <w:t xml:space="preserve">Clasificación </w:t>
            </w:r>
          </w:p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6"/>
              </w:rPr>
              <w:t>(mayor o menor)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4"/>
              </w:rPr>
              <w:t>Requisito(s) de la norma, en caso de auditoría combinada o integrada indicar la designación de la norma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8"/>
              </w:rPr>
              <w:t xml:space="preserve">Corrección propuesta / Evidencia de la Corrección  y fecha de implementación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8"/>
              </w:rPr>
              <w:t>Análisis de causas (indicar la(s) causa (s) raíces)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C9" w:rsidRPr="00BA196C" w:rsidRDefault="00F330C9" w:rsidP="00F330C9">
            <w:pPr>
              <w:jc w:val="center"/>
              <w:rPr>
                <w:rFonts w:cs="Arial"/>
                <w:b/>
                <w:sz w:val="18"/>
              </w:rPr>
            </w:pPr>
            <w:r w:rsidRPr="00BA196C">
              <w:rPr>
                <w:rFonts w:cs="Arial"/>
                <w:b/>
                <w:sz w:val="18"/>
              </w:rPr>
              <w:t>Acción correctiva propuesta/ /Evidencia de la Acción correctiva y fecha de implementación</w:t>
            </w:r>
          </w:p>
        </w:tc>
      </w:tr>
      <w:tr w:rsidR="00944001" w:rsidRPr="00944001" w:rsidTr="00905C40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944001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944001">
              <w:rPr>
                <w:rFonts w:cs="Arial"/>
                <w:sz w:val="16"/>
                <w:szCs w:val="16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F570B2" w:rsidRPr="00AA106C" w:rsidRDefault="00F570B2" w:rsidP="006819CE">
            <w:pPr>
              <w:pStyle w:val="Prrafodelista"/>
              <w:numPr>
                <w:ilvl w:val="0"/>
                <w:numId w:val="8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En los juzgados de conocimiento, no hay evidencia del informe gestión correspondiente al seguimiento del proceso.</w:t>
            </w:r>
          </w:p>
          <w:p w:rsidR="00F570B2" w:rsidRPr="00AA106C" w:rsidRDefault="00F570B2" w:rsidP="006819CE">
            <w:pPr>
              <w:pStyle w:val="Prrafodelista"/>
              <w:ind w:left="348"/>
              <w:jc w:val="both"/>
              <w:rPr>
                <w:rFonts w:cs="Arial"/>
                <w:sz w:val="16"/>
                <w:szCs w:val="16"/>
              </w:rPr>
            </w:pPr>
          </w:p>
          <w:p w:rsidR="00F570B2" w:rsidRPr="00AA106C" w:rsidRDefault="00F570B2" w:rsidP="006819CE">
            <w:pPr>
              <w:pStyle w:val="Prrafodelista"/>
              <w:numPr>
                <w:ilvl w:val="0"/>
                <w:numId w:val="8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No hay evidencia del seguimiento al proceso de las acciones constitucionales</w:t>
            </w:r>
          </w:p>
          <w:p w:rsidR="003B7C27" w:rsidRPr="00AA106C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85252" w:rsidRPr="00AA106C" w:rsidRDefault="00585252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 xml:space="preserve">Evidencia: </w:t>
            </w:r>
          </w:p>
          <w:p w:rsidR="00585252" w:rsidRPr="00AA106C" w:rsidRDefault="00585252" w:rsidP="006819CE">
            <w:pPr>
              <w:pStyle w:val="Prrafodelista"/>
              <w:ind w:left="72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85252" w:rsidRPr="00AA106C" w:rsidRDefault="00585252" w:rsidP="000530F9">
            <w:pPr>
              <w:pStyle w:val="Prrafodelista"/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Actividad de verificación de la Caracterización del proceso de conocimiento</w:t>
            </w:r>
          </w:p>
          <w:p w:rsidR="00585252" w:rsidRPr="00AA106C" w:rsidRDefault="00585252" w:rsidP="000530F9">
            <w:pPr>
              <w:pStyle w:val="Prrafodelista"/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En el  aplicativo SIGLO XXI no hay registros de las tutelas 110014009036201700111 y  110014009036201700107</w:t>
            </w:r>
          </w:p>
          <w:p w:rsidR="00585252" w:rsidRDefault="00585252" w:rsidP="006819CE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1861B3" w:rsidRPr="00AA106C" w:rsidRDefault="001861B3" w:rsidP="006819C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>SPA- Bogotá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F570B2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CF63FA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8.2.3 y 9.1.1 ISO 9001:2015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</w:tcPr>
          <w:p w:rsidR="008A4F1B" w:rsidRPr="00AA106C" w:rsidRDefault="00DB25C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1. Presentar en el informe de revisión</w:t>
            </w:r>
            <w:r w:rsidR="00D83792" w:rsidRPr="00AA106C">
              <w:rPr>
                <w:rFonts w:cs="Arial"/>
                <w:sz w:val="16"/>
                <w:szCs w:val="16"/>
              </w:rPr>
              <w:t xml:space="preserve"> para la </w:t>
            </w:r>
            <w:r w:rsidRPr="00AA106C">
              <w:rPr>
                <w:rFonts w:cs="Arial"/>
                <w:sz w:val="16"/>
                <w:szCs w:val="16"/>
              </w:rPr>
              <w:t>alta dirección del 2017</w:t>
            </w:r>
            <w:r w:rsidR="00D83792" w:rsidRPr="00AA106C">
              <w:rPr>
                <w:rFonts w:cs="Arial"/>
                <w:sz w:val="16"/>
                <w:szCs w:val="16"/>
              </w:rPr>
              <w:t xml:space="preserve">, </w:t>
            </w:r>
            <w:r w:rsidRPr="00AA106C">
              <w:rPr>
                <w:rFonts w:cs="Arial"/>
                <w:sz w:val="16"/>
                <w:szCs w:val="16"/>
              </w:rPr>
              <w:t xml:space="preserve">el informe de gestión de los </w:t>
            </w:r>
            <w:r w:rsidR="00774440" w:rsidRPr="00AA106C">
              <w:rPr>
                <w:rFonts w:cs="Arial"/>
                <w:sz w:val="16"/>
                <w:szCs w:val="16"/>
              </w:rPr>
              <w:t>juzgados (</w:t>
            </w:r>
            <w:r w:rsidRPr="00AA106C">
              <w:rPr>
                <w:rFonts w:cs="Arial"/>
                <w:sz w:val="16"/>
                <w:szCs w:val="16"/>
              </w:rPr>
              <w:t>Febrero 15 de 2018).</w:t>
            </w: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2. Registrar en el aplicativo SIGLO XXI las tutelas 110014009036201700111 y 11001400903</w:t>
            </w:r>
            <w:r w:rsidR="00905C40">
              <w:rPr>
                <w:rFonts w:cs="Arial"/>
                <w:sz w:val="16"/>
                <w:szCs w:val="16"/>
              </w:rPr>
              <w:t>6201700107. (Noviembre 3 de 2017</w:t>
            </w:r>
            <w:r w:rsidRPr="00AA106C">
              <w:rPr>
                <w:rFonts w:cs="Arial"/>
                <w:sz w:val="16"/>
                <w:szCs w:val="16"/>
              </w:rPr>
              <w:t>).</w:t>
            </w:r>
          </w:p>
          <w:p w:rsidR="00774440" w:rsidRPr="00AA106C" w:rsidRDefault="00774440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B25C8" w:rsidRPr="00AA106C" w:rsidRDefault="00DB25C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B25C8" w:rsidRPr="00AA106C" w:rsidRDefault="00DB25C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B25C8" w:rsidRPr="00AA106C" w:rsidRDefault="00DB25C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:rsidR="007D3F14" w:rsidRPr="00AA106C" w:rsidRDefault="00927FC5" w:rsidP="006819CE">
            <w:pPr>
              <w:pStyle w:val="Prrafodelista"/>
              <w:numPr>
                <w:ilvl w:val="0"/>
                <w:numId w:val="9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Desconocimiento</w:t>
            </w:r>
            <w:r w:rsidR="00B33CAA" w:rsidRPr="00AA106C">
              <w:rPr>
                <w:rFonts w:cs="Arial"/>
                <w:sz w:val="16"/>
                <w:szCs w:val="16"/>
              </w:rPr>
              <w:t xml:space="preserve"> </w:t>
            </w:r>
            <w:r w:rsidRPr="00AA106C">
              <w:rPr>
                <w:rFonts w:cs="Arial"/>
                <w:sz w:val="16"/>
                <w:szCs w:val="16"/>
              </w:rPr>
              <w:t>de la caracterización del proceso.</w:t>
            </w:r>
          </w:p>
          <w:p w:rsidR="00927FC5" w:rsidRPr="00AA106C" w:rsidRDefault="007D3F14" w:rsidP="006819CE">
            <w:pPr>
              <w:pStyle w:val="Prrafodelista"/>
              <w:numPr>
                <w:ilvl w:val="0"/>
                <w:numId w:val="9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</w:t>
            </w:r>
            <w:r w:rsidR="00B25028" w:rsidRPr="00AA106C">
              <w:rPr>
                <w:rFonts w:cs="Arial"/>
                <w:sz w:val="16"/>
                <w:szCs w:val="16"/>
              </w:rPr>
              <w:t>alta de</w:t>
            </w:r>
            <w:r w:rsidR="000200EC" w:rsidRPr="00AA106C">
              <w:rPr>
                <w:rFonts w:cs="Arial"/>
                <w:sz w:val="16"/>
                <w:szCs w:val="16"/>
              </w:rPr>
              <w:t xml:space="preserve"> concientización</w:t>
            </w:r>
            <w:r w:rsidR="00927FC5" w:rsidRPr="00AA106C">
              <w:rPr>
                <w:rFonts w:cs="Arial"/>
                <w:sz w:val="16"/>
                <w:szCs w:val="16"/>
              </w:rPr>
              <w:t xml:space="preserve"> de los </w:t>
            </w:r>
            <w:r w:rsidR="00B25028" w:rsidRPr="00AA106C">
              <w:rPr>
                <w:rFonts w:cs="Arial"/>
                <w:sz w:val="16"/>
                <w:szCs w:val="16"/>
              </w:rPr>
              <w:t>documentos divulgados</w:t>
            </w:r>
            <w:r w:rsidR="00927FC5" w:rsidRPr="00AA106C">
              <w:rPr>
                <w:rFonts w:cs="Arial"/>
                <w:sz w:val="16"/>
                <w:szCs w:val="16"/>
              </w:rPr>
              <w:t>.</w:t>
            </w:r>
          </w:p>
          <w:p w:rsidR="00927FC5" w:rsidRDefault="00927FC5" w:rsidP="006819CE">
            <w:pPr>
              <w:pStyle w:val="Prrafodelista"/>
              <w:numPr>
                <w:ilvl w:val="0"/>
                <w:numId w:val="9"/>
              </w:numPr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Excesiva carga laboral de los juzgados la cual no permite dedicar tiempo a la realización del informe de gestión.</w:t>
            </w:r>
          </w:p>
          <w:p w:rsidR="00291BB9" w:rsidRDefault="00291BB9" w:rsidP="00291BB9">
            <w:pPr>
              <w:pStyle w:val="Prrafodelista"/>
              <w:numPr>
                <w:ilvl w:val="0"/>
                <w:numId w:val="9"/>
              </w:numPr>
              <w:ind w:left="360"/>
              <w:contextualSpacing/>
              <w:jc w:val="both"/>
              <w:rPr>
                <w:rFonts w:cs="Arial"/>
              </w:rPr>
            </w:pPr>
            <w:r w:rsidRPr="00291BB9">
              <w:rPr>
                <w:rFonts w:cs="Arial"/>
                <w:sz w:val="16"/>
                <w:szCs w:val="16"/>
              </w:rPr>
              <w:t>Esta actividad no es propia del juzgados si no del proceso de mejoramiento del sistema</w:t>
            </w:r>
            <w:r>
              <w:rPr>
                <w:rFonts w:cs="Arial"/>
              </w:rPr>
              <w:t>.</w:t>
            </w:r>
          </w:p>
          <w:p w:rsidR="00291BB9" w:rsidRPr="00AA106C" w:rsidRDefault="00291BB9" w:rsidP="00291BB9">
            <w:pPr>
              <w:pStyle w:val="Prrafodelista"/>
              <w:ind w:left="36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927FC5" w:rsidRPr="00AA106C" w:rsidRDefault="00927FC5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927FC5" w:rsidRPr="00AA106C" w:rsidRDefault="00927FC5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927FC5" w:rsidRDefault="00927FC5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0200EC" w:rsidRDefault="000200EC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927FC5" w:rsidRPr="00AA106C" w:rsidRDefault="00927FC5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50031B" w:rsidRPr="0050031B" w:rsidRDefault="0050031B" w:rsidP="0050031B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50031B">
              <w:rPr>
                <w:rFonts w:cs="Arial"/>
                <w:sz w:val="16"/>
                <w:szCs w:val="16"/>
              </w:rPr>
              <w:lastRenderedPageBreak/>
              <w:t>Desconocimiento en los juzgados de los procedimientos del proceso de acciones constitucionales y de los acuerdos No. 1591 de 2002 (24 de octubre) y PSAA06-3334 de 2006.</w:t>
            </w:r>
          </w:p>
          <w:p w:rsidR="0050031B" w:rsidRPr="0050031B" w:rsidRDefault="0050031B" w:rsidP="0050031B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50031B">
              <w:rPr>
                <w:rFonts w:cs="Arial"/>
                <w:sz w:val="16"/>
                <w:szCs w:val="16"/>
              </w:rPr>
              <w:t>Falta de concientización y aplicación de los documentos divulgados.</w:t>
            </w:r>
          </w:p>
          <w:p w:rsidR="00B33CAA" w:rsidRPr="00AA106C" w:rsidRDefault="0050031B" w:rsidP="0050031B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50031B">
              <w:rPr>
                <w:rFonts w:cs="Arial"/>
                <w:sz w:val="16"/>
                <w:szCs w:val="16"/>
              </w:rPr>
              <w:t>No se realiza el registro de las tutelas en el sistema siglo XXI ya que el ciudadano no la utiliza como herramienta de consulta y prefiere consultar directamente en el juzgado.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5C8" w:rsidRPr="00AA106C" w:rsidRDefault="0022549F" w:rsidP="000530F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C</w:t>
            </w:r>
            <w:r w:rsidR="00DB25C8" w:rsidRPr="00AA106C">
              <w:rPr>
                <w:rFonts w:cs="Arial"/>
                <w:sz w:val="16"/>
                <w:szCs w:val="16"/>
              </w:rPr>
              <w:t xml:space="preserve">ambio estructural de la caracterización del proceso de Conocimiento tanto en el diseño del formato como en </w:t>
            </w:r>
            <w:r w:rsidR="00291BB9">
              <w:rPr>
                <w:rFonts w:cs="Arial"/>
                <w:sz w:val="16"/>
                <w:szCs w:val="16"/>
              </w:rPr>
              <w:t xml:space="preserve">las actividades del ciclo PHVA </w:t>
            </w:r>
            <w:r w:rsidR="00291BB9" w:rsidRPr="00291BB9">
              <w:rPr>
                <w:rFonts w:cs="Arial"/>
                <w:sz w:val="16"/>
                <w:szCs w:val="16"/>
              </w:rPr>
              <w:t>realizando en la misma el ajuste del responsable de realizar el informe de gestión consolidado del proceso</w:t>
            </w:r>
            <w:r w:rsidR="00291BB9">
              <w:rPr>
                <w:rFonts w:cs="Arial"/>
              </w:rPr>
              <w:t>.</w:t>
            </w:r>
            <w:r w:rsidR="00291BB9" w:rsidRPr="00AA106C">
              <w:rPr>
                <w:rFonts w:cs="Arial"/>
                <w:sz w:val="16"/>
                <w:szCs w:val="16"/>
              </w:rPr>
              <w:t xml:space="preserve"> </w:t>
            </w:r>
            <w:r w:rsidR="00BF5A4E" w:rsidRPr="00AA106C">
              <w:rPr>
                <w:rFonts w:cs="Arial"/>
                <w:sz w:val="16"/>
                <w:szCs w:val="16"/>
              </w:rPr>
              <w:t>(Febrero 28</w:t>
            </w:r>
            <w:r w:rsidR="00DB25C8" w:rsidRPr="00AA106C">
              <w:rPr>
                <w:rFonts w:cs="Arial"/>
                <w:sz w:val="16"/>
                <w:szCs w:val="16"/>
              </w:rPr>
              <w:t xml:space="preserve"> de 2018)</w:t>
            </w:r>
            <w:r w:rsidR="00774440" w:rsidRPr="00AA106C">
              <w:rPr>
                <w:rFonts w:cs="Arial"/>
                <w:sz w:val="16"/>
                <w:szCs w:val="16"/>
              </w:rPr>
              <w:t>.</w:t>
            </w:r>
          </w:p>
          <w:p w:rsidR="00585252" w:rsidRPr="00AA106C" w:rsidRDefault="00074375" w:rsidP="000530F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Aprobación de la caracterización del proceso de Conocimiento por parte del Comité de Calidad. (</w:t>
            </w:r>
            <w:r w:rsidR="00585252" w:rsidRPr="00AA106C">
              <w:rPr>
                <w:rFonts w:cs="Arial"/>
                <w:sz w:val="16"/>
                <w:szCs w:val="16"/>
              </w:rPr>
              <w:t>Marzo 15 de 2018</w:t>
            </w:r>
            <w:r w:rsidR="009E2026" w:rsidRPr="00AA106C">
              <w:rPr>
                <w:rFonts w:cs="Arial"/>
                <w:sz w:val="16"/>
                <w:szCs w:val="16"/>
              </w:rPr>
              <w:t>.)</w:t>
            </w:r>
          </w:p>
          <w:p w:rsidR="00585252" w:rsidRPr="00AA106C" w:rsidRDefault="00074375" w:rsidP="000530F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Divulgación</w:t>
            </w:r>
            <w:r w:rsidR="00BF5A4E" w:rsidRPr="00AA106C">
              <w:rPr>
                <w:rFonts w:cs="Arial"/>
                <w:sz w:val="16"/>
                <w:szCs w:val="16"/>
              </w:rPr>
              <w:t xml:space="preserve"> </w:t>
            </w:r>
            <w:r w:rsidR="0022549F" w:rsidRPr="00AA106C">
              <w:rPr>
                <w:rFonts w:cs="Arial"/>
                <w:sz w:val="16"/>
                <w:szCs w:val="16"/>
              </w:rPr>
              <w:t xml:space="preserve">y socialización </w:t>
            </w:r>
            <w:r w:rsidR="00BF5A4E" w:rsidRPr="00AA106C">
              <w:rPr>
                <w:rFonts w:cs="Arial"/>
                <w:sz w:val="16"/>
                <w:szCs w:val="16"/>
              </w:rPr>
              <w:t xml:space="preserve">de la </w:t>
            </w:r>
            <w:r w:rsidRPr="00AA106C">
              <w:rPr>
                <w:rFonts w:cs="Arial"/>
                <w:sz w:val="16"/>
                <w:szCs w:val="16"/>
              </w:rPr>
              <w:t>C</w:t>
            </w:r>
            <w:r w:rsidR="00BF5A4E" w:rsidRPr="00AA106C">
              <w:rPr>
                <w:rFonts w:cs="Arial"/>
                <w:sz w:val="16"/>
                <w:szCs w:val="16"/>
              </w:rPr>
              <w:t xml:space="preserve">aracterización </w:t>
            </w:r>
            <w:r w:rsidRPr="00AA106C">
              <w:rPr>
                <w:rFonts w:cs="Arial"/>
                <w:sz w:val="16"/>
                <w:szCs w:val="16"/>
              </w:rPr>
              <w:t>del P</w:t>
            </w:r>
            <w:r w:rsidR="00BF5A4E" w:rsidRPr="00AA106C">
              <w:rPr>
                <w:rFonts w:cs="Arial"/>
                <w:sz w:val="16"/>
                <w:szCs w:val="16"/>
              </w:rPr>
              <w:t xml:space="preserve">roceso de Conocimiento a todos juzgados penales del Circuito y municipales con función de </w:t>
            </w:r>
            <w:r w:rsidRPr="00AA106C">
              <w:rPr>
                <w:rFonts w:cs="Arial"/>
                <w:sz w:val="16"/>
                <w:szCs w:val="16"/>
              </w:rPr>
              <w:t>conocimiento</w:t>
            </w:r>
            <w:r w:rsidR="00BF5A4E" w:rsidRPr="00AA106C">
              <w:rPr>
                <w:rFonts w:cs="Arial"/>
                <w:sz w:val="16"/>
                <w:szCs w:val="16"/>
              </w:rPr>
              <w:t>.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(Marzo 21 de 2018).</w:t>
            </w:r>
          </w:p>
          <w:p w:rsidR="00585252" w:rsidRDefault="00555994" w:rsidP="000530F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Implementación</w:t>
            </w:r>
            <w:r w:rsidR="0022549F" w:rsidRPr="00AA106C">
              <w:rPr>
                <w:rFonts w:cs="Arial"/>
                <w:sz w:val="16"/>
                <w:szCs w:val="16"/>
              </w:rPr>
              <w:t xml:space="preserve"> de los ajustes</w:t>
            </w:r>
            <w:r w:rsidRPr="00AA106C">
              <w:rPr>
                <w:rFonts w:cs="Arial"/>
                <w:sz w:val="16"/>
                <w:szCs w:val="16"/>
              </w:rPr>
              <w:t xml:space="preserve"> de la caracterización en todos juzgados penales del Circuito y municipales con función de conocimiento</w:t>
            </w:r>
            <w:r w:rsidR="0022549F" w:rsidRPr="00AA106C">
              <w:rPr>
                <w:rFonts w:cs="Arial"/>
                <w:sz w:val="16"/>
                <w:szCs w:val="16"/>
              </w:rPr>
              <w:t>.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(Abril 2 de 2018).</w:t>
            </w:r>
          </w:p>
          <w:p w:rsidR="002E5116" w:rsidRPr="00780D4A" w:rsidRDefault="002E5116" w:rsidP="000530F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780D4A">
              <w:rPr>
                <w:rFonts w:cs="Arial"/>
                <w:color w:val="000000" w:themeColor="text1"/>
                <w:sz w:val="16"/>
                <w:szCs w:val="16"/>
              </w:rPr>
              <w:t>Elaboración y presentación de los infor</w:t>
            </w:r>
            <w:r w:rsidR="00780D4A" w:rsidRPr="00780D4A">
              <w:rPr>
                <w:rFonts w:cs="Arial"/>
                <w:color w:val="000000" w:themeColor="text1"/>
                <w:sz w:val="16"/>
                <w:szCs w:val="16"/>
              </w:rPr>
              <w:t xml:space="preserve">mes de gestión y resultados por medio del </w:t>
            </w:r>
            <w:r w:rsidRPr="00780D4A">
              <w:rPr>
                <w:rFonts w:cs="Arial"/>
                <w:color w:val="000000" w:themeColor="text1"/>
                <w:sz w:val="16"/>
                <w:szCs w:val="16"/>
              </w:rPr>
              <w:t>proceso</w:t>
            </w:r>
            <w:r w:rsidR="00780D4A" w:rsidRPr="00780D4A">
              <w:rPr>
                <w:rFonts w:cs="Arial"/>
                <w:color w:val="000000" w:themeColor="text1"/>
                <w:sz w:val="16"/>
                <w:szCs w:val="16"/>
              </w:rPr>
              <w:t xml:space="preserve"> de Mejoramiento del Sistema de Gestión de Calidad</w:t>
            </w:r>
            <w:r w:rsidR="00780D4A">
              <w:rPr>
                <w:rFonts w:cs="Arial"/>
                <w:color w:val="000000" w:themeColor="text1"/>
                <w:sz w:val="16"/>
                <w:szCs w:val="16"/>
              </w:rPr>
              <w:t>(mayo 4 del 2018)</w:t>
            </w:r>
          </w:p>
          <w:p w:rsidR="00DB25C8" w:rsidRPr="00AA106C" w:rsidRDefault="0022549F" w:rsidP="000530F9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Evaluar la eficacia de la acción tomada.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(Mayo 31 de 2018).</w:t>
            </w: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200EC" w:rsidRPr="00AA106C" w:rsidRDefault="000200E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B25C8" w:rsidRPr="00AA106C" w:rsidRDefault="00DB25C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66AC0" w:rsidRPr="00AA106C" w:rsidRDefault="00DB25C8" w:rsidP="000530F9">
            <w:pPr>
              <w:pStyle w:val="Prrafodelista"/>
              <w:numPr>
                <w:ilvl w:val="0"/>
                <w:numId w:val="52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Ajuste y actualización </w:t>
            </w:r>
            <w:r w:rsidR="007D3F14" w:rsidRPr="00AA106C">
              <w:rPr>
                <w:rFonts w:cs="Arial"/>
                <w:sz w:val="16"/>
                <w:szCs w:val="16"/>
              </w:rPr>
              <w:t>de los procedimientos del proce</w:t>
            </w:r>
            <w:r w:rsidR="004920F5">
              <w:rPr>
                <w:rFonts w:cs="Arial"/>
                <w:sz w:val="16"/>
                <w:szCs w:val="16"/>
              </w:rPr>
              <w:t xml:space="preserve">so de acciones constitucionales </w:t>
            </w:r>
            <w:r w:rsidR="004920F5" w:rsidRPr="004920F5">
              <w:rPr>
                <w:rFonts w:cs="Arial"/>
                <w:color w:val="000000" w:themeColor="text1"/>
                <w:sz w:val="16"/>
                <w:szCs w:val="16"/>
              </w:rPr>
              <w:t xml:space="preserve">Incluyendo </w:t>
            </w:r>
            <w:r w:rsidR="004920F5" w:rsidRPr="004920F5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en el procedimiento una actividad de seguimiento al registro, por parte del juez o por quien él delegue</w:t>
            </w:r>
            <w:r w:rsidR="004920F5" w:rsidRPr="0082064E">
              <w:rPr>
                <w:rFonts w:cs="Arial"/>
                <w:color w:val="000000" w:themeColor="text1"/>
              </w:rPr>
              <w:t>.</w:t>
            </w:r>
            <w:r w:rsidRPr="00AA106C">
              <w:rPr>
                <w:rFonts w:cs="Arial"/>
                <w:sz w:val="16"/>
                <w:szCs w:val="16"/>
              </w:rPr>
              <w:t xml:space="preserve"> (</w:t>
            </w:r>
            <w:r w:rsidR="007D3F14" w:rsidRPr="00AA106C">
              <w:rPr>
                <w:rFonts w:cs="Arial"/>
                <w:sz w:val="16"/>
                <w:szCs w:val="16"/>
              </w:rPr>
              <w:t>Febrero 28</w:t>
            </w:r>
            <w:r w:rsidRPr="00AA106C">
              <w:rPr>
                <w:rFonts w:cs="Arial"/>
                <w:sz w:val="16"/>
                <w:szCs w:val="16"/>
              </w:rPr>
              <w:t xml:space="preserve"> de 2018)</w:t>
            </w:r>
            <w:r w:rsidR="007D3F14" w:rsidRPr="00AA106C">
              <w:rPr>
                <w:rFonts w:cs="Arial"/>
                <w:sz w:val="16"/>
                <w:szCs w:val="16"/>
              </w:rPr>
              <w:t>.</w:t>
            </w:r>
          </w:p>
          <w:p w:rsidR="007D3F14" w:rsidRPr="00AA106C" w:rsidRDefault="007D3F14" w:rsidP="000530F9">
            <w:pPr>
              <w:pStyle w:val="Prrafodelista"/>
              <w:numPr>
                <w:ilvl w:val="0"/>
                <w:numId w:val="52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Aprobación de los procedimientos del proceso de acciones constitucionales por parte del Comité de Calidad. (Marzo 15 de 2018).</w:t>
            </w:r>
          </w:p>
          <w:p w:rsidR="007D3F14" w:rsidRPr="00AA106C" w:rsidRDefault="007D3F14" w:rsidP="000530F9">
            <w:pPr>
              <w:pStyle w:val="Prrafodelista"/>
              <w:numPr>
                <w:ilvl w:val="0"/>
                <w:numId w:val="52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Divulgación y socialización de los procedimientos del proceso de acciones constitucionales del Proceso de Conocimiento a todos juzgados penales del Circuito y municipa</w:t>
            </w:r>
            <w:r w:rsidR="004920F5">
              <w:rPr>
                <w:rFonts w:cs="Arial"/>
                <w:sz w:val="16"/>
                <w:szCs w:val="16"/>
              </w:rPr>
              <w:t xml:space="preserve">les con función de conocimiento </w:t>
            </w:r>
            <w:r w:rsidR="004920F5" w:rsidRPr="004920F5">
              <w:rPr>
                <w:rFonts w:cs="Arial"/>
                <w:color w:val="000000" w:themeColor="text1"/>
                <w:sz w:val="16"/>
                <w:szCs w:val="16"/>
              </w:rPr>
              <w:t>y de los acuerdos No. 1591 de 2002 (24 de octubre) y PSAA06-3334 de 2006, en los juzgados, mediante circular emitida por el Consejo Seccional de la Judicatura, recordando   y exhortando su cumplimiento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(Marzo 21 de 2018).</w:t>
            </w:r>
          </w:p>
          <w:p w:rsidR="002E5116" w:rsidRPr="003225D1" w:rsidRDefault="007D3F14" w:rsidP="006127AF">
            <w:pPr>
              <w:pStyle w:val="Prrafodelista"/>
              <w:numPr>
                <w:ilvl w:val="0"/>
                <w:numId w:val="52"/>
              </w:numPr>
              <w:jc w:val="both"/>
              <w:rPr>
                <w:rFonts w:cs="Arial"/>
                <w:sz w:val="16"/>
                <w:szCs w:val="16"/>
              </w:rPr>
            </w:pPr>
            <w:r w:rsidRPr="003225D1">
              <w:rPr>
                <w:rFonts w:cs="Arial"/>
                <w:sz w:val="16"/>
                <w:szCs w:val="16"/>
              </w:rPr>
              <w:t>Implementación de los procedimientos del proceso de acciones constitucionales en todos juzgados penales del Circuito y municipales con función</w:t>
            </w:r>
            <w:r w:rsidR="00905C40" w:rsidRPr="003225D1">
              <w:rPr>
                <w:rFonts w:cs="Arial"/>
                <w:sz w:val="16"/>
                <w:szCs w:val="16"/>
              </w:rPr>
              <w:t xml:space="preserve"> de conocimiento haciendo seguimiento previo el juez de cada juzgado</w:t>
            </w:r>
            <w:r w:rsidR="004920F5" w:rsidRPr="003225D1">
              <w:rPr>
                <w:rFonts w:cs="Arial"/>
                <w:sz w:val="16"/>
                <w:szCs w:val="16"/>
              </w:rPr>
              <w:t>. (</w:t>
            </w:r>
            <w:r w:rsidR="00CA4EE7" w:rsidRPr="003225D1">
              <w:rPr>
                <w:rFonts w:cs="Arial"/>
                <w:sz w:val="16"/>
                <w:szCs w:val="16"/>
              </w:rPr>
              <w:t>Abril 3 del 2018)</w:t>
            </w:r>
            <w:r w:rsidR="003225D1" w:rsidRPr="003225D1">
              <w:rPr>
                <w:rFonts w:cs="Arial"/>
                <w:sz w:val="16"/>
                <w:szCs w:val="16"/>
              </w:rPr>
              <w:t>.</w:t>
            </w:r>
          </w:p>
          <w:p w:rsidR="00585252" w:rsidRPr="00AA106C" w:rsidRDefault="007D3F14" w:rsidP="000530F9">
            <w:pPr>
              <w:pStyle w:val="Prrafodelista"/>
              <w:numPr>
                <w:ilvl w:val="0"/>
                <w:numId w:val="52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Evaluar la eficacia de la acción tomada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(</w:t>
            </w:r>
            <w:r w:rsidR="0082649C" w:rsidRPr="00AA106C">
              <w:rPr>
                <w:rFonts w:cs="Arial"/>
                <w:sz w:val="16"/>
                <w:szCs w:val="16"/>
              </w:rPr>
              <w:t>mayo</w:t>
            </w:r>
            <w:r w:rsidR="00585252" w:rsidRPr="00AA106C">
              <w:rPr>
                <w:rFonts w:cs="Arial"/>
                <w:sz w:val="16"/>
                <w:szCs w:val="16"/>
              </w:rPr>
              <w:t xml:space="preserve"> 31 de 2018).</w:t>
            </w:r>
          </w:p>
          <w:p w:rsidR="007D3F14" w:rsidRPr="00AA106C" w:rsidRDefault="007D3F14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44001" w:rsidRPr="00944001" w:rsidTr="00905C40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944001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944001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172655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No se mantiene información documentada que describa las acciones tomadas de las salidas no conformes detectadas en los instrumentos establecidos por la institución</w:t>
            </w:r>
          </w:p>
          <w:p w:rsidR="00172655" w:rsidRPr="00AA106C" w:rsidRDefault="00172655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72655" w:rsidRPr="00AA106C" w:rsidRDefault="00172655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lastRenderedPageBreak/>
              <w:t xml:space="preserve">Evidencia: </w:t>
            </w:r>
          </w:p>
          <w:p w:rsidR="00172655" w:rsidRPr="00AA106C" w:rsidRDefault="00172655" w:rsidP="000530F9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En el Juzgado Penal Municipal  18 no se registra en  el SIERJU  la estadística del producto no conforme del segundo trimestre de 2017 y en Informe  de seguimiento se  reporta 72 productos no conformes en ese mismo  periodo</w:t>
            </w:r>
          </w:p>
          <w:p w:rsidR="00172655" w:rsidRPr="00AA106C" w:rsidRDefault="00172655" w:rsidP="000530F9">
            <w:pPr>
              <w:pStyle w:val="Prrafodelista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sz w:val="16"/>
                <w:szCs w:val="16"/>
                <w:lang w:val="es-CO" w:eastAsia="en-US"/>
              </w:rPr>
            </w:pPr>
            <w:r w:rsidRPr="00AA106C">
              <w:rPr>
                <w:rFonts w:cs="Arial"/>
                <w:sz w:val="16"/>
                <w:szCs w:val="16"/>
              </w:rPr>
              <w:t>No  se evidencia el tratamiento de los servicios no conformes de respuesta oportuna de  las PQR(s) 161M  con respuesta de 52 días, 170M con 91 días y 007V con 36 días</w:t>
            </w:r>
          </w:p>
          <w:p w:rsidR="00172655" w:rsidRPr="00AA106C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="001861B3" w:rsidRPr="00AA106C">
              <w:rPr>
                <w:rFonts w:cs="Arial"/>
                <w:b/>
                <w:sz w:val="16"/>
                <w:szCs w:val="16"/>
              </w:rPr>
              <w:t>SPA- Bogotá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172655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172655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EF6E04">
              <w:rPr>
                <w:rFonts w:cs="Arial"/>
                <w:color w:val="000000" w:themeColor="text1"/>
                <w:sz w:val="16"/>
                <w:szCs w:val="16"/>
              </w:rPr>
              <w:t xml:space="preserve">8.3 </w:t>
            </w:r>
            <w:r w:rsidRPr="00AA106C">
              <w:rPr>
                <w:rFonts w:cs="Arial"/>
                <w:sz w:val="16"/>
                <w:szCs w:val="16"/>
              </w:rPr>
              <w:t>y 8.7.2 b y c  ISO 9001:2015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</w:tcPr>
          <w:p w:rsidR="00072E27" w:rsidRPr="00AA106C" w:rsidRDefault="00AE6C8D" w:rsidP="006819CE">
            <w:pPr>
              <w:numPr>
                <w:ilvl w:val="0"/>
                <w:numId w:val="5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Reportar la estadística de los trimestre faltantes</w:t>
            </w:r>
            <w:r w:rsidR="00072E27" w:rsidRPr="00AA106C">
              <w:rPr>
                <w:rFonts w:cs="Arial"/>
                <w:sz w:val="16"/>
                <w:szCs w:val="16"/>
              </w:rPr>
              <w:t xml:space="preserve"> del 2017</w:t>
            </w:r>
            <w:r w:rsidRPr="00AA106C">
              <w:rPr>
                <w:rFonts w:cs="Arial"/>
                <w:sz w:val="16"/>
                <w:szCs w:val="16"/>
              </w:rPr>
              <w:t xml:space="preserve"> por parte del Juzgado</w:t>
            </w:r>
            <w:r w:rsidR="00EF55C8" w:rsidRPr="00AA106C">
              <w:rPr>
                <w:rFonts w:cs="Arial"/>
                <w:sz w:val="16"/>
                <w:szCs w:val="16"/>
              </w:rPr>
              <w:t xml:space="preserve"> 18</w:t>
            </w:r>
            <w:r w:rsidRPr="00AA106C">
              <w:rPr>
                <w:rFonts w:cs="Arial"/>
                <w:sz w:val="16"/>
                <w:szCs w:val="16"/>
              </w:rPr>
              <w:t xml:space="preserve"> Penal Municipal</w:t>
            </w:r>
            <w:r w:rsidR="00EF55C8" w:rsidRPr="00AA106C">
              <w:rPr>
                <w:rFonts w:cs="Arial"/>
                <w:sz w:val="16"/>
                <w:szCs w:val="16"/>
              </w:rPr>
              <w:t xml:space="preserve"> </w:t>
            </w:r>
            <w:r w:rsidRPr="00AA106C">
              <w:rPr>
                <w:rFonts w:cs="Arial"/>
                <w:sz w:val="16"/>
                <w:szCs w:val="16"/>
              </w:rPr>
              <w:t>de Conocimiento</w:t>
            </w:r>
            <w:r w:rsidR="00072E27" w:rsidRPr="00AA106C">
              <w:rPr>
                <w:rFonts w:cs="Arial"/>
                <w:sz w:val="16"/>
                <w:szCs w:val="16"/>
              </w:rPr>
              <w:t>.</w:t>
            </w:r>
            <w:r w:rsidR="0049726C" w:rsidRPr="00AA106C">
              <w:rPr>
                <w:rFonts w:cs="Arial"/>
                <w:sz w:val="16"/>
                <w:szCs w:val="16"/>
              </w:rPr>
              <w:t>(</w:t>
            </w:r>
            <w:r w:rsidR="00A952AC" w:rsidRPr="00AA106C">
              <w:rPr>
                <w:rFonts w:cs="Arial"/>
                <w:sz w:val="16"/>
                <w:szCs w:val="16"/>
              </w:rPr>
              <w:t>Noviembre 10 del 2017</w:t>
            </w:r>
            <w:r w:rsidR="00916982" w:rsidRPr="00AA106C">
              <w:rPr>
                <w:rFonts w:cs="Arial"/>
                <w:sz w:val="16"/>
                <w:szCs w:val="16"/>
              </w:rPr>
              <w:t>)</w:t>
            </w:r>
          </w:p>
          <w:p w:rsidR="0042157F" w:rsidRPr="00AA106C" w:rsidRDefault="0042157F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42157F" w:rsidRPr="00AA106C" w:rsidRDefault="0042157F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42157F" w:rsidRPr="00AA106C" w:rsidRDefault="0042157F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42157F" w:rsidRPr="00AA106C" w:rsidRDefault="0042157F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42157F" w:rsidRPr="00AA106C" w:rsidRDefault="0042157F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072E27" w:rsidRPr="00AA106C" w:rsidRDefault="00916982" w:rsidP="006819CE">
            <w:pPr>
              <w:numPr>
                <w:ilvl w:val="0"/>
                <w:numId w:val="5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Adicionar en la base de datos “Registro y Control Peticiones Quejas Reclamos y Sugerencias (año)” una columna en la que se detalle el tratamiento que se da a la salidas no conformes y diligenciarla a partir de la fecha. (</w:t>
            </w:r>
            <w:r w:rsidR="00A952AC" w:rsidRPr="00AA106C">
              <w:rPr>
                <w:rFonts w:cs="Arial"/>
                <w:sz w:val="16"/>
                <w:szCs w:val="16"/>
              </w:rPr>
              <w:t>Noviembre 3 del 2017</w:t>
            </w:r>
            <w:r w:rsidR="00606104" w:rsidRPr="00AA106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:rsidR="003B7C27" w:rsidRPr="00AA106C" w:rsidRDefault="0042157F" w:rsidP="006819CE">
            <w:pPr>
              <w:numPr>
                <w:ilvl w:val="0"/>
                <w:numId w:val="2"/>
              </w:numPr>
              <w:ind w:left="317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Desconocimiento de la plataforma SIERJU</w:t>
            </w:r>
            <w:r w:rsidR="007503EE" w:rsidRPr="00AA106C">
              <w:rPr>
                <w:rFonts w:cs="Arial"/>
                <w:sz w:val="16"/>
                <w:szCs w:val="16"/>
              </w:rPr>
              <w:t>-</w:t>
            </w:r>
            <w:r w:rsidRPr="00AA106C">
              <w:rPr>
                <w:rFonts w:cs="Arial"/>
                <w:sz w:val="16"/>
                <w:szCs w:val="16"/>
              </w:rPr>
              <w:t>BI.</w:t>
            </w:r>
          </w:p>
          <w:p w:rsidR="0042157F" w:rsidRPr="00AA106C" w:rsidRDefault="0042157F" w:rsidP="006819CE">
            <w:pPr>
              <w:numPr>
                <w:ilvl w:val="0"/>
                <w:numId w:val="2"/>
              </w:numPr>
              <w:ind w:left="317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Falta de tiempo para registro de las estadísticas.</w:t>
            </w:r>
          </w:p>
          <w:p w:rsidR="0042157F" w:rsidRPr="00AA106C" w:rsidRDefault="0042157F" w:rsidP="006819CE">
            <w:pPr>
              <w:numPr>
                <w:ilvl w:val="0"/>
                <w:numId w:val="2"/>
              </w:numPr>
              <w:ind w:left="317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Problemas con el </w:t>
            </w:r>
            <w:r w:rsidR="007503EE" w:rsidRPr="00AA106C">
              <w:rPr>
                <w:rFonts w:cs="Arial"/>
                <w:sz w:val="16"/>
                <w:szCs w:val="16"/>
              </w:rPr>
              <w:t>acceso al internet.</w:t>
            </w:r>
          </w:p>
          <w:p w:rsidR="0042157F" w:rsidRPr="00AA106C" w:rsidRDefault="007503EE" w:rsidP="006819CE">
            <w:pPr>
              <w:numPr>
                <w:ilvl w:val="0"/>
                <w:numId w:val="2"/>
              </w:numPr>
              <w:ind w:left="317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C</w:t>
            </w:r>
            <w:r w:rsidR="0042157F" w:rsidRPr="00AA106C">
              <w:rPr>
                <w:rFonts w:cs="Arial"/>
                <w:sz w:val="16"/>
                <w:szCs w:val="16"/>
              </w:rPr>
              <w:t xml:space="preserve">ongestión de la página por el registro de las estadísticas en el </w:t>
            </w:r>
            <w:r w:rsidR="005A1422" w:rsidRPr="00AA106C">
              <w:rPr>
                <w:rFonts w:cs="Arial"/>
                <w:sz w:val="16"/>
                <w:szCs w:val="16"/>
              </w:rPr>
              <w:t>último</w:t>
            </w:r>
            <w:r w:rsidR="0042157F" w:rsidRPr="00AA106C">
              <w:rPr>
                <w:rFonts w:cs="Arial"/>
                <w:sz w:val="16"/>
                <w:szCs w:val="16"/>
              </w:rPr>
              <w:t xml:space="preserve"> </w:t>
            </w:r>
            <w:r w:rsidR="005A1422" w:rsidRPr="00AA106C">
              <w:rPr>
                <w:rFonts w:cs="Arial"/>
                <w:sz w:val="16"/>
                <w:szCs w:val="16"/>
              </w:rPr>
              <w:t>día</w:t>
            </w:r>
            <w:r w:rsidR="0042157F" w:rsidRPr="00AA106C">
              <w:rPr>
                <w:rFonts w:cs="Arial"/>
                <w:sz w:val="16"/>
                <w:szCs w:val="16"/>
              </w:rPr>
              <w:t>.</w:t>
            </w:r>
          </w:p>
          <w:p w:rsidR="00606104" w:rsidRPr="00AA106C" w:rsidRDefault="00606104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06104" w:rsidRPr="00AA106C" w:rsidRDefault="00606104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06104" w:rsidRPr="00AA106C" w:rsidRDefault="00606104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Default="00B17E9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06104" w:rsidRPr="00AA106C" w:rsidRDefault="00606104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06104" w:rsidRPr="00AA106C" w:rsidRDefault="00606104" w:rsidP="000530F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Por la alta volumen de trabajo no se da respuesta oportuna de las Peticiones Quejas Reclamos y Sugerencias por parte del Lider del</w:t>
            </w:r>
            <w:r w:rsidR="0082649C">
              <w:rPr>
                <w:rFonts w:cs="Arial"/>
                <w:sz w:val="16"/>
                <w:szCs w:val="16"/>
              </w:rPr>
              <w:t xml:space="preserve"> Grupo al que corresponda la PQR</w:t>
            </w:r>
            <w:r w:rsidRPr="00AA106C">
              <w:rPr>
                <w:rFonts w:cs="Arial"/>
                <w:sz w:val="16"/>
                <w:szCs w:val="16"/>
              </w:rPr>
              <w:t>.</w:t>
            </w:r>
          </w:p>
          <w:p w:rsidR="00606104" w:rsidRPr="00AA106C" w:rsidRDefault="00797C0B" w:rsidP="000530F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Falta de información </w:t>
            </w:r>
            <w:r w:rsidR="00606104" w:rsidRPr="00AA106C">
              <w:rPr>
                <w:rFonts w:cs="Arial"/>
                <w:sz w:val="16"/>
                <w:szCs w:val="16"/>
              </w:rPr>
              <w:t xml:space="preserve">para dar respuesta a las Peticiones Quejas </w:t>
            </w:r>
            <w:r w:rsidR="00606104" w:rsidRPr="00AA106C">
              <w:rPr>
                <w:rFonts w:cs="Arial"/>
                <w:sz w:val="16"/>
                <w:szCs w:val="16"/>
              </w:rPr>
              <w:lastRenderedPageBreak/>
              <w:t>Reclamos y Sugerencias</w:t>
            </w:r>
          </w:p>
          <w:p w:rsidR="00797C0B" w:rsidRPr="00AA106C" w:rsidRDefault="00797C0B" w:rsidP="000530F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Falta de seguimiento a al vencimiento d</w:t>
            </w:r>
            <w:r w:rsidR="00533034">
              <w:rPr>
                <w:rFonts w:cs="Arial"/>
                <w:sz w:val="16"/>
                <w:szCs w:val="16"/>
              </w:rPr>
              <w:t>e respuesta oportunas de las PQR</w:t>
            </w:r>
            <w:r w:rsidRPr="00AA106C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C27" w:rsidRPr="00AA106C" w:rsidRDefault="00F620A5" w:rsidP="000530F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Divulgación del reglamento del Sistema de Información estadística (acuerdo PSAA16-10476 del 2016)</w:t>
            </w:r>
            <w:r w:rsidR="00C106B8" w:rsidRPr="00AA106C">
              <w:rPr>
                <w:rFonts w:cs="Arial"/>
                <w:sz w:val="16"/>
                <w:szCs w:val="16"/>
              </w:rPr>
              <w:t xml:space="preserve"> y manuales para el usuario para el registro de las estadísticas dentro de la plataforma SIERJU-BI en el link gestión wiki.</w:t>
            </w:r>
            <w:r w:rsidR="00A952AC" w:rsidRPr="00AA106C">
              <w:rPr>
                <w:rFonts w:cs="Arial"/>
                <w:sz w:val="16"/>
                <w:szCs w:val="16"/>
              </w:rPr>
              <w:t xml:space="preserve"> (Enero 31 del 2018) </w:t>
            </w:r>
          </w:p>
          <w:p w:rsidR="00A952AC" w:rsidRPr="00AA106C" w:rsidRDefault="00714D0C" w:rsidP="000530F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Elaborar herramientas didácticas    (diapositivas, boletines) </w:t>
            </w:r>
            <w:r w:rsidR="00A952AC" w:rsidRPr="00AA106C">
              <w:rPr>
                <w:rFonts w:cs="Arial"/>
                <w:sz w:val="16"/>
                <w:szCs w:val="16"/>
              </w:rPr>
              <w:t>relacionados con la administración del tiempo para optimizar las tareas diarias del despacho.</w:t>
            </w:r>
            <w:r w:rsidR="00B17E98" w:rsidRPr="00AA106C">
              <w:rPr>
                <w:rFonts w:cs="Arial"/>
                <w:sz w:val="16"/>
                <w:szCs w:val="16"/>
              </w:rPr>
              <w:t>(Enero 15 del 2018)</w:t>
            </w:r>
          </w:p>
          <w:p w:rsidR="00A952AC" w:rsidRDefault="00A952AC" w:rsidP="000530F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Diseñar y divulgar un</w:t>
            </w:r>
            <w:r w:rsidR="0049726C" w:rsidRPr="00AA106C">
              <w:rPr>
                <w:rFonts w:cs="Arial"/>
                <w:sz w:val="16"/>
                <w:szCs w:val="16"/>
              </w:rPr>
              <w:t xml:space="preserve"> cronograma para el vencimiento del reporte de las estadísticas</w:t>
            </w:r>
            <w:r w:rsidRPr="00AA106C">
              <w:rPr>
                <w:rFonts w:cs="Arial"/>
                <w:sz w:val="16"/>
                <w:szCs w:val="16"/>
              </w:rPr>
              <w:t xml:space="preserve"> a todos los juzgados. (Enero 31 del 2018)</w:t>
            </w:r>
            <w:r w:rsidR="00B17E98" w:rsidRPr="00AA106C">
              <w:rPr>
                <w:rFonts w:cs="Arial"/>
                <w:sz w:val="16"/>
                <w:szCs w:val="16"/>
              </w:rPr>
              <w:t>.</w:t>
            </w:r>
          </w:p>
          <w:p w:rsidR="002E5116" w:rsidRDefault="002E5116" w:rsidP="002E5116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91BB9" w:rsidRPr="005521E5" w:rsidRDefault="00291BB9" w:rsidP="00291BB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color w:val="0070C0"/>
                <w:sz w:val="16"/>
                <w:szCs w:val="16"/>
              </w:rPr>
            </w:pPr>
            <w:r w:rsidRPr="00291BB9">
              <w:rPr>
                <w:rFonts w:cs="Arial"/>
                <w:color w:val="000000" w:themeColor="text1"/>
                <w:sz w:val="16"/>
                <w:szCs w:val="16"/>
              </w:rPr>
              <w:t xml:space="preserve">Solicitar a la UDAE, un reporte de los juzgados que no reportaron la estadística, en el trimestre, para que través </w:t>
            </w:r>
            <w:r w:rsidR="0050031B">
              <w:rPr>
                <w:rFonts w:cs="Arial"/>
                <w:color w:val="000000" w:themeColor="text1"/>
                <w:sz w:val="16"/>
                <w:szCs w:val="16"/>
              </w:rPr>
              <w:t>del Consejo Seccional se exija</w:t>
            </w:r>
            <w:r w:rsidRPr="00291BB9">
              <w:rPr>
                <w:rFonts w:cs="Arial"/>
                <w:color w:val="000000" w:themeColor="text1"/>
                <w:sz w:val="16"/>
                <w:szCs w:val="16"/>
              </w:rPr>
              <w:t xml:space="preserve"> a los juzgados a realizar el reporte</w:t>
            </w:r>
            <w:r w:rsidRPr="005521E5">
              <w:rPr>
                <w:rFonts w:cs="Arial"/>
                <w:color w:val="0070C0"/>
                <w:sz w:val="16"/>
                <w:szCs w:val="16"/>
              </w:rPr>
              <w:t xml:space="preserve">. </w:t>
            </w:r>
            <w:r w:rsidR="00E6161C">
              <w:rPr>
                <w:rFonts w:cs="Arial"/>
                <w:color w:val="000000" w:themeColor="text1"/>
                <w:sz w:val="16"/>
                <w:szCs w:val="16"/>
              </w:rPr>
              <w:t>(Diciembre 29</w:t>
            </w:r>
            <w:r w:rsidRPr="00291BB9">
              <w:rPr>
                <w:rFonts w:cs="Arial"/>
                <w:color w:val="000000" w:themeColor="text1"/>
                <w:sz w:val="16"/>
                <w:szCs w:val="16"/>
              </w:rPr>
              <w:t xml:space="preserve"> del 201</w:t>
            </w:r>
            <w:r w:rsidRPr="00E6161C">
              <w:rPr>
                <w:rFonts w:cs="Arial"/>
                <w:color w:val="000000" w:themeColor="text1"/>
                <w:sz w:val="16"/>
                <w:szCs w:val="16"/>
              </w:rPr>
              <w:t>7)</w:t>
            </w:r>
          </w:p>
          <w:p w:rsidR="002E5116" w:rsidRDefault="002E5116" w:rsidP="002E5116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E5116" w:rsidRPr="002E5116" w:rsidRDefault="002E5116" w:rsidP="002E5116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17E98" w:rsidRPr="00AA106C" w:rsidRDefault="00B17E98" w:rsidP="000530F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Evaluar la eficacia de la acción tomada (</w:t>
            </w:r>
            <w:r w:rsidR="000435E1" w:rsidRPr="00AA106C">
              <w:rPr>
                <w:rFonts w:cs="Arial"/>
                <w:sz w:val="16"/>
                <w:szCs w:val="16"/>
              </w:rPr>
              <w:t>mayo</w:t>
            </w:r>
            <w:r w:rsidRPr="00AA106C">
              <w:rPr>
                <w:rFonts w:cs="Arial"/>
                <w:sz w:val="16"/>
                <w:szCs w:val="16"/>
              </w:rPr>
              <w:t xml:space="preserve"> 31 de 2018).</w:t>
            </w:r>
          </w:p>
          <w:p w:rsidR="00A952AC" w:rsidRPr="00AA106C" w:rsidRDefault="00A952A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49726C" w:rsidRPr="00AA106C" w:rsidRDefault="0049726C" w:rsidP="006819CE">
            <w:pPr>
              <w:pStyle w:val="Prrafodelista"/>
              <w:jc w:val="both"/>
              <w:rPr>
                <w:rFonts w:cs="Arial"/>
                <w:sz w:val="16"/>
                <w:szCs w:val="16"/>
              </w:rPr>
            </w:pPr>
          </w:p>
          <w:p w:rsidR="0049726C" w:rsidRDefault="0049726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C0101" w:rsidRPr="00AA106C" w:rsidRDefault="005C010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16982" w:rsidRPr="00AA106C" w:rsidRDefault="00916982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16982" w:rsidRPr="00AA106C" w:rsidRDefault="00916982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16982" w:rsidRPr="00AA106C" w:rsidRDefault="00797C0B" w:rsidP="000530F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Actualizar el formato “Registro y Control Peticiones Quejas Reclamos y Sugerencias. (</w:t>
            </w:r>
            <w:r w:rsidR="00A952AC" w:rsidRPr="00AA106C">
              <w:rPr>
                <w:rFonts w:cs="Arial"/>
                <w:sz w:val="16"/>
                <w:szCs w:val="16"/>
              </w:rPr>
              <w:t>Noviembre 17 de 2017)</w:t>
            </w:r>
          </w:p>
          <w:p w:rsidR="00797C0B" w:rsidRPr="00AA106C" w:rsidRDefault="00864F21" w:rsidP="000530F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Revisión y aprobación el procedimiento para el control del Producto o Servicio No conforme específicamente en lo relacionado con el registro de Salidas No Conformes, las acciones tomadas y las concesiones, simplificando el trámite, tanto en los juzgados como en el </w:t>
            </w:r>
            <w:r w:rsidRPr="00AA106C">
              <w:rPr>
                <w:rFonts w:cs="Arial"/>
                <w:sz w:val="16"/>
                <w:szCs w:val="16"/>
              </w:rPr>
              <w:lastRenderedPageBreak/>
              <w:t>centro de servicios.</w:t>
            </w:r>
            <w:r w:rsidR="00B90D5B">
              <w:rPr>
                <w:rFonts w:cs="Arial"/>
                <w:sz w:val="16"/>
                <w:szCs w:val="16"/>
              </w:rPr>
              <w:t xml:space="preserve"> (m</w:t>
            </w:r>
            <w:r w:rsidRPr="00AA106C">
              <w:rPr>
                <w:rFonts w:cs="Arial"/>
                <w:sz w:val="16"/>
                <w:szCs w:val="16"/>
              </w:rPr>
              <w:t>arzo 15 de 2018).</w:t>
            </w:r>
          </w:p>
          <w:p w:rsidR="00864F21" w:rsidRPr="00AA106C" w:rsidRDefault="00864F21" w:rsidP="000530F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Revisar periódicamente los tér</w:t>
            </w:r>
            <w:r w:rsidR="000C1CC9">
              <w:rPr>
                <w:rFonts w:cs="Arial"/>
                <w:sz w:val="16"/>
                <w:szCs w:val="16"/>
              </w:rPr>
              <w:t>minos de vencimiento de las PQR</w:t>
            </w:r>
            <w:r w:rsidRPr="00AA106C">
              <w:rPr>
                <w:rFonts w:cs="Arial"/>
                <w:sz w:val="16"/>
                <w:szCs w:val="16"/>
              </w:rPr>
              <w:t xml:space="preserve"> haciendo uso de las alarmas establecidas la base de datos “Registro y Control Peticiones Quejas Reclamos y Sugerencias</w:t>
            </w:r>
            <w:r w:rsidR="009B5A06">
              <w:rPr>
                <w:rFonts w:cs="Arial"/>
                <w:sz w:val="16"/>
                <w:szCs w:val="16"/>
              </w:rPr>
              <w:t>(</w:t>
            </w:r>
            <w:r w:rsidR="00B90D5B">
              <w:rPr>
                <w:rFonts w:cs="Arial"/>
                <w:sz w:val="16"/>
                <w:szCs w:val="16"/>
              </w:rPr>
              <w:t>n</w:t>
            </w:r>
            <w:r w:rsidRPr="00AA106C">
              <w:rPr>
                <w:rFonts w:cs="Arial"/>
                <w:sz w:val="16"/>
                <w:szCs w:val="16"/>
              </w:rPr>
              <w:t>oviembre 17 de 2017)</w:t>
            </w:r>
          </w:p>
          <w:p w:rsidR="00864F21" w:rsidRPr="00AA106C" w:rsidRDefault="00864F21" w:rsidP="000530F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Evaluar la eficacia de la acción tomada (</w:t>
            </w:r>
            <w:r w:rsidR="000435E1" w:rsidRPr="00AA106C">
              <w:rPr>
                <w:rFonts w:cs="Arial"/>
                <w:sz w:val="16"/>
                <w:szCs w:val="16"/>
              </w:rPr>
              <w:t>abril</w:t>
            </w:r>
            <w:r w:rsidRPr="00AA106C">
              <w:rPr>
                <w:rFonts w:cs="Arial"/>
                <w:sz w:val="16"/>
                <w:szCs w:val="16"/>
              </w:rPr>
              <w:t xml:space="preserve"> </w:t>
            </w:r>
            <w:r w:rsidR="000435E1" w:rsidRPr="00AA106C">
              <w:rPr>
                <w:rFonts w:cs="Arial"/>
                <w:sz w:val="16"/>
                <w:szCs w:val="16"/>
              </w:rPr>
              <w:t xml:space="preserve">2 </w:t>
            </w:r>
            <w:r w:rsidRPr="00AA106C">
              <w:rPr>
                <w:rFonts w:cs="Arial"/>
                <w:sz w:val="16"/>
                <w:szCs w:val="16"/>
              </w:rPr>
              <w:t>de 2018).</w:t>
            </w:r>
          </w:p>
          <w:p w:rsidR="00864F21" w:rsidRPr="00AA106C" w:rsidRDefault="00864F2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64F21" w:rsidRPr="00AA106C" w:rsidRDefault="00864F2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44001" w:rsidRPr="00944001" w:rsidTr="00905C40">
        <w:trPr>
          <w:trHeight w:val="140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944001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944001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B5C28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No se cumplen los términos establecidos para que el juzgado 33 penal de circuito señale la fecha de la audiencia de formalización de acusación  y en el juzgado 36 de garantías  dicte fallo a los incidentes de desacato</w:t>
            </w:r>
          </w:p>
          <w:p w:rsidR="003B7C27" w:rsidRPr="00AA106C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B5C28" w:rsidRPr="00AA106C" w:rsidRDefault="006B5C28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 xml:space="preserve">Evidencia: </w:t>
            </w:r>
          </w:p>
          <w:p w:rsidR="006B5C28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En el Procedimiento de acusación y en el  Código de procedimiento penal  se establece que el juez dispone de tres días hábiles para señalar  la fecha de la audiencia  y en el  Proceso judicial 277971   se señaló la fecha a los 20 días hábiles</w:t>
            </w:r>
          </w:p>
          <w:p w:rsidR="006B5C28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B5C28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En el procedimiento  para tramite de incidentes de desacato en los juzgados del Sistema Penal Acusatorio se establece  que el juez dicta fallo dentro de los 10 días siguientes a la presentación de la solicitud y en incidente de desacato de la tutela 11001408803620160013 </w:t>
            </w:r>
            <w:r w:rsidRPr="00AA106C">
              <w:rPr>
                <w:rFonts w:cs="Arial"/>
                <w:sz w:val="16"/>
                <w:szCs w:val="16"/>
              </w:rPr>
              <w:lastRenderedPageBreak/>
              <w:t>presentado el 16 de febrero de 2016 se falló el 29 de abril de 2016</w:t>
            </w:r>
          </w:p>
          <w:p w:rsidR="006B5C28" w:rsidRPr="00AA106C" w:rsidRDefault="001861B3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>SPA- Bogotá</w:t>
            </w:r>
          </w:p>
          <w:p w:rsidR="006B5C28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6B5C28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8.2.4 y 8.6 ISO 9001:2015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0894" w:rsidRDefault="00FF747F" w:rsidP="006819C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 el juzgado 33 penal del circuito de conocimiento </w:t>
            </w:r>
            <w:r w:rsidR="00CD0624">
              <w:rPr>
                <w:rFonts w:cs="Arial"/>
                <w:sz w:val="16"/>
                <w:szCs w:val="16"/>
              </w:rPr>
              <w:t xml:space="preserve">en </w:t>
            </w:r>
            <w:r w:rsidR="00CD0624" w:rsidRPr="00AA106C">
              <w:rPr>
                <w:rFonts w:cs="Arial"/>
                <w:sz w:val="16"/>
                <w:szCs w:val="16"/>
              </w:rPr>
              <w:t>el Proceso judicial 277971</w:t>
            </w:r>
            <w:r w:rsidR="00CD062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se </w:t>
            </w:r>
            <w:r w:rsidR="00CD0624">
              <w:rPr>
                <w:rFonts w:cs="Arial"/>
                <w:sz w:val="16"/>
                <w:szCs w:val="16"/>
              </w:rPr>
              <w:t>fijó</w:t>
            </w:r>
            <w:r>
              <w:rPr>
                <w:rFonts w:cs="Arial"/>
                <w:sz w:val="16"/>
                <w:szCs w:val="16"/>
              </w:rPr>
              <w:t xml:space="preserve"> fecha para la audiencia de </w:t>
            </w:r>
            <w:r w:rsidR="00CD0624">
              <w:rPr>
                <w:rFonts w:cs="Arial"/>
                <w:sz w:val="16"/>
                <w:szCs w:val="16"/>
              </w:rPr>
              <w:t xml:space="preserve">formulación </w:t>
            </w:r>
            <w:r w:rsidR="00CD0624" w:rsidRPr="00AA106C">
              <w:rPr>
                <w:rFonts w:cs="Arial"/>
                <w:sz w:val="16"/>
                <w:szCs w:val="16"/>
              </w:rPr>
              <w:t>de</w:t>
            </w:r>
            <w:r w:rsidRPr="00AA106C">
              <w:rPr>
                <w:rFonts w:cs="Arial"/>
                <w:sz w:val="16"/>
                <w:szCs w:val="16"/>
              </w:rPr>
              <w:t xml:space="preserve"> acusación </w:t>
            </w:r>
            <w:r>
              <w:rPr>
                <w:rFonts w:cs="Arial"/>
                <w:sz w:val="16"/>
                <w:szCs w:val="16"/>
              </w:rPr>
              <w:t xml:space="preserve">el </w:t>
            </w:r>
            <w:r w:rsidR="00CD0624">
              <w:rPr>
                <w:rFonts w:cs="Arial"/>
                <w:sz w:val="16"/>
                <w:szCs w:val="16"/>
              </w:rPr>
              <w:t>día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9467E7">
              <w:rPr>
                <w:rFonts w:cs="Arial"/>
                <w:sz w:val="16"/>
                <w:szCs w:val="16"/>
              </w:rPr>
              <w:t>10 de noviembre a las 3 pm</w:t>
            </w:r>
            <w:r w:rsidRPr="00FF747F">
              <w:rPr>
                <w:rFonts w:cs="Arial"/>
                <w:sz w:val="16"/>
                <w:szCs w:val="16"/>
              </w:rPr>
              <w:t xml:space="preserve"> y </w:t>
            </w:r>
            <w:r>
              <w:rPr>
                <w:rFonts w:cs="Arial"/>
                <w:sz w:val="16"/>
                <w:szCs w:val="16"/>
              </w:rPr>
              <w:t xml:space="preserve">en el juzgado 36 </w:t>
            </w:r>
            <w:r w:rsidR="00CD0624">
              <w:rPr>
                <w:rFonts w:cs="Arial"/>
                <w:sz w:val="16"/>
                <w:szCs w:val="16"/>
              </w:rPr>
              <w:t xml:space="preserve">el </w:t>
            </w:r>
            <w:r w:rsidR="00CD0624" w:rsidRPr="00AA106C">
              <w:rPr>
                <w:rFonts w:cs="Arial"/>
                <w:sz w:val="16"/>
                <w:szCs w:val="16"/>
              </w:rPr>
              <w:t>trámite</w:t>
            </w:r>
            <w:r w:rsidRPr="00AA106C">
              <w:rPr>
                <w:rFonts w:cs="Arial"/>
                <w:sz w:val="16"/>
                <w:szCs w:val="16"/>
              </w:rPr>
              <w:t xml:space="preserve"> de incidentes de desacato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A106C">
              <w:rPr>
                <w:rFonts w:cs="Arial"/>
                <w:sz w:val="16"/>
                <w:szCs w:val="16"/>
              </w:rPr>
              <w:t xml:space="preserve">de la tutela </w:t>
            </w:r>
            <w:r w:rsidRPr="00590894">
              <w:rPr>
                <w:rFonts w:cs="Arial"/>
                <w:color w:val="000000" w:themeColor="text1"/>
                <w:sz w:val="16"/>
                <w:szCs w:val="16"/>
              </w:rPr>
              <w:t>11001408803620160013 fue presentado el 16 de febrero de 2016 se falló el 29 de abril de 2016</w:t>
            </w:r>
            <w:r w:rsidR="005C0101" w:rsidRPr="0059089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90894"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</w:p>
          <w:p w:rsidR="00FF747F" w:rsidRPr="00590894" w:rsidRDefault="00590894" w:rsidP="006819C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9467E7" w:rsidRPr="00590894">
              <w:rPr>
                <w:rFonts w:cs="Arial"/>
                <w:color w:val="000000" w:themeColor="text1"/>
                <w:sz w:val="16"/>
                <w:szCs w:val="16"/>
              </w:rPr>
              <w:t>10 de noviembre del 2017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y</w:t>
            </w:r>
            <w:r w:rsidR="00850AF0" w:rsidRPr="00590894">
              <w:rPr>
                <w:rFonts w:cs="Arial"/>
                <w:color w:val="000000" w:themeColor="text1"/>
                <w:sz w:val="16"/>
                <w:szCs w:val="16"/>
              </w:rPr>
              <w:t xml:space="preserve"> 29 de abril de 2016 </w:t>
            </w:r>
            <w:r w:rsidR="009467E7" w:rsidRPr="00590894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  <w:p w:rsidR="00422D02" w:rsidRPr="00AA106C" w:rsidRDefault="00422D02" w:rsidP="0059089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7C27" w:rsidRPr="00AA106C" w:rsidRDefault="00763E51" w:rsidP="006819CE">
            <w:pPr>
              <w:numPr>
                <w:ilvl w:val="0"/>
                <w:numId w:val="3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Excesiva carga laboral de los juzgados.</w:t>
            </w:r>
          </w:p>
          <w:p w:rsidR="00763E51" w:rsidRDefault="00763E51" w:rsidP="006819CE">
            <w:pPr>
              <w:numPr>
                <w:ilvl w:val="0"/>
                <w:numId w:val="3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 xml:space="preserve">Falta de seguimiento al vencimiento de los términos a las solicitudes </w:t>
            </w:r>
            <w:r w:rsidR="00CD0624">
              <w:rPr>
                <w:rFonts w:cs="Arial"/>
                <w:sz w:val="16"/>
                <w:szCs w:val="16"/>
              </w:rPr>
              <w:t>a</w:t>
            </w:r>
            <w:r w:rsidRPr="00AA106C">
              <w:rPr>
                <w:rFonts w:cs="Arial"/>
                <w:sz w:val="16"/>
                <w:szCs w:val="16"/>
              </w:rPr>
              <w:t>llegadas al despacho.</w:t>
            </w:r>
          </w:p>
          <w:p w:rsidR="00CD0624" w:rsidRPr="00AA106C" w:rsidRDefault="00CD0624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763E51" w:rsidRPr="00AA106C" w:rsidRDefault="00763E51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F0" w:rsidRDefault="00850AF0" w:rsidP="000530F9">
            <w:pPr>
              <w:pStyle w:val="Prrafodelista"/>
              <w:numPr>
                <w:ilvl w:val="0"/>
                <w:numId w:val="17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Realizar reuniones con los jueces para detectar buenas practica realizadas por cada juzgado relacionado con el vencimiento de términos.(febrero 6 del 2018)</w:t>
            </w:r>
          </w:p>
          <w:p w:rsidR="00CD0624" w:rsidRPr="00CD0624" w:rsidRDefault="00763E51" w:rsidP="000530F9">
            <w:pPr>
              <w:pStyle w:val="Prrafodelista"/>
              <w:numPr>
                <w:ilvl w:val="0"/>
                <w:numId w:val="17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Establecer un mecanismo de control de vencimiento de términos con alarmas establecidas para ale</w:t>
            </w:r>
            <w:r w:rsidR="00850AF0">
              <w:rPr>
                <w:rFonts w:cs="Arial"/>
                <w:sz w:val="16"/>
                <w:szCs w:val="16"/>
              </w:rPr>
              <w:t>rtar los vencimientos de procesos y tutelas. (febrero 28 del 2018)</w:t>
            </w:r>
          </w:p>
          <w:p w:rsidR="00763E51" w:rsidRPr="00AA106C" w:rsidRDefault="00763E51" w:rsidP="000530F9">
            <w:pPr>
              <w:pStyle w:val="Prrafodelista"/>
              <w:numPr>
                <w:ilvl w:val="0"/>
                <w:numId w:val="17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Seguimiento periódico por parte del juez del vencimiento de los términos</w:t>
            </w:r>
            <w:r w:rsidR="00850AF0">
              <w:rPr>
                <w:rFonts w:cs="Arial"/>
                <w:sz w:val="16"/>
                <w:szCs w:val="16"/>
              </w:rPr>
              <w:t>. (</w:t>
            </w:r>
            <w:r w:rsidR="00222BB5">
              <w:rPr>
                <w:rFonts w:cs="Arial"/>
                <w:sz w:val="16"/>
                <w:szCs w:val="16"/>
              </w:rPr>
              <w:t>Octubre 17 del 2017)</w:t>
            </w:r>
          </w:p>
          <w:p w:rsidR="00763E51" w:rsidRPr="00AA106C" w:rsidRDefault="00763E51" w:rsidP="000530F9">
            <w:pPr>
              <w:pStyle w:val="Prrafodelista"/>
              <w:numPr>
                <w:ilvl w:val="0"/>
                <w:numId w:val="17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Evaluar la eficacia de la acción tomada (</w:t>
            </w:r>
            <w:r w:rsidR="00222BB5">
              <w:rPr>
                <w:rFonts w:cs="Arial"/>
                <w:sz w:val="16"/>
                <w:szCs w:val="16"/>
              </w:rPr>
              <w:t xml:space="preserve">marzo </w:t>
            </w:r>
            <w:r w:rsidRPr="00AA106C">
              <w:rPr>
                <w:rFonts w:cs="Arial"/>
                <w:sz w:val="16"/>
                <w:szCs w:val="16"/>
              </w:rPr>
              <w:t>2 de 2018).</w:t>
            </w:r>
          </w:p>
          <w:p w:rsidR="00763E51" w:rsidRPr="00AA106C" w:rsidRDefault="00763E51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763E51" w:rsidRPr="00AA106C" w:rsidRDefault="00763E51" w:rsidP="006819CE">
            <w:pPr>
              <w:pStyle w:val="Prrafodelista"/>
              <w:ind w:left="72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44001" w:rsidRPr="00AA106C" w:rsidTr="00905C40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CD6886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9F71DB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No hay evidencia de  la  sentencia  firmada por el juez 33  requerida   para que el Centro de Servicios Judiciales proceda a la  realización de  la orden de captura</w:t>
            </w:r>
          </w:p>
          <w:p w:rsidR="003B7C27" w:rsidRPr="00AA106C" w:rsidRDefault="003B7C27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F71DB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F71DB" w:rsidRPr="00AA106C" w:rsidRDefault="009F71DB" w:rsidP="006819C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 xml:space="preserve">Evidencia: </w:t>
            </w:r>
          </w:p>
          <w:p w:rsidR="009F71DB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Proceso judicial  N.I. 228656, Registro de audiencia de 22 de septiembre de 2017</w:t>
            </w:r>
          </w:p>
          <w:p w:rsidR="009F71DB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>SPA- Bogotá</w:t>
            </w: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B7C27" w:rsidRPr="00AA106C" w:rsidRDefault="009F71DB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7.5.5 y 8.5.4 ISO 9001:2015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106C" w:rsidRPr="00AA106C" w:rsidRDefault="00AA106C" w:rsidP="006819C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Firmar la sentencia requerida para que el Centro de Servicios Judiciales en el Proceso judicial N.I. 228656, Registro de audiencia de 22 de septiembre de 2017</w:t>
            </w:r>
            <w:r w:rsidR="00B10D63" w:rsidRPr="00B10D6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10D63">
              <w:rPr>
                <w:rFonts w:cs="Arial"/>
                <w:color w:val="000000" w:themeColor="text1"/>
                <w:sz w:val="16"/>
                <w:szCs w:val="16"/>
              </w:rPr>
              <w:t>(o</w:t>
            </w:r>
            <w:r w:rsidR="00B10D63" w:rsidRPr="00B10D63">
              <w:rPr>
                <w:rFonts w:cs="Arial"/>
                <w:color w:val="000000" w:themeColor="text1"/>
                <w:sz w:val="16"/>
                <w:szCs w:val="16"/>
              </w:rPr>
              <w:t>ctubre 9 de 2017)</w:t>
            </w:r>
          </w:p>
          <w:p w:rsidR="00CD6886" w:rsidRPr="00AA106C" w:rsidRDefault="00AA106C" w:rsidP="006819CE">
            <w:pPr>
              <w:ind w:left="39"/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b/>
                <w:sz w:val="16"/>
                <w:szCs w:val="16"/>
              </w:rPr>
              <w:t>SPA- Bogotá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7C27" w:rsidRDefault="00B90D5B" w:rsidP="006819CE">
            <w:pPr>
              <w:numPr>
                <w:ilvl w:val="0"/>
                <w:numId w:val="4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seguimiento de las sentencias realizadas por el juez</w:t>
            </w:r>
            <w:r w:rsidR="000B637C">
              <w:rPr>
                <w:rFonts w:cs="Arial"/>
                <w:sz w:val="16"/>
                <w:szCs w:val="16"/>
              </w:rPr>
              <w:t>.</w:t>
            </w:r>
          </w:p>
          <w:p w:rsidR="000B637C" w:rsidRPr="00AA106C" w:rsidRDefault="000B637C" w:rsidP="006819CE">
            <w:pPr>
              <w:numPr>
                <w:ilvl w:val="0"/>
                <w:numId w:val="4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Excesiva carga laboral de los juzgados.</w:t>
            </w:r>
          </w:p>
          <w:p w:rsidR="000B637C" w:rsidRPr="00AA106C" w:rsidRDefault="000B637C" w:rsidP="006819CE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4AC" w:rsidRPr="00E604AC" w:rsidRDefault="00E604AC" w:rsidP="00E604AC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604AC">
              <w:rPr>
                <w:rFonts w:cs="Arial"/>
                <w:color w:val="000000" w:themeColor="text1"/>
                <w:sz w:val="16"/>
                <w:szCs w:val="16"/>
              </w:rPr>
              <w:t xml:space="preserve">Elaborar Circular emitida por el Consejo Seccional de la Judicatura, dirigida a Los Juzgados recordando el seguimiento necesario para el control de los términos, como parte de la gestión del despacho. </w:t>
            </w:r>
          </w:p>
          <w:p w:rsidR="00E604AC" w:rsidRPr="00E604AC" w:rsidRDefault="00E604AC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604AC">
              <w:rPr>
                <w:rFonts w:cs="Arial"/>
                <w:color w:val="000000" w:themeColor="text1"/>
                <w:sz w:val="16"/>
                <w:szCs w:val="16"/>
              </w:rPr>
              <w:t>(Noviembre 24 de 2017)</w:t>
            </w:r>
          </w:p>
          <w:p w:rsidR="00E604AC" w:rsidRPr="00E604AC" w:rsidRDefault="00E604AC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604AC" w:rsidRPr="00E604AC" w:rsidRDefault="00E604AC" w:rsidP="00E604AC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604AC">
              <w:rPr>
                <w:rFonts w:cs="Arial"/>
                <w:color w:val="000000" w:themeColor="text1"/>
                <w:sz w:val="16"/>
                <w:szCs w:val="16"/>
              </w:rPr>
              <w:t>Reiterar al grupo de Recepción a juzgados la verificación en el paso1 punto 5. del procedimiento Recepción de documentos a Juzgados, en cuanto a que:</w:t>
            </w:r>
          </w:p>
          <w:p w:rsidR="00E604AC" w:rsidRPr="00E604AC" w:rsidRDefault="00E604AC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  <w:u w:val="single"/>
              </w:rPr>
            </w:pPr>
            <w:r w:rsidRPr="00E604AC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Las actuaciones deben estar debidamente firmadas por el juez o el secretario según el caso.</w:t>
            </w:r>
          </w:p>
          <w:p w:rsidR="00E604AC" w:rsidRDefault="00E604AC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604AC">
              <w:rPr>
                <w:rFonts w:cs="Arial"/>
                <w:color w:val="000000" w:themeColor="text1"/>
                <w:sz w:val="16"/>
                <w:szCs w:val="16"/>
              </w:rPr>
              <w:t>(Noviembre 15 de 2017)</w:t>
            </w:r>
          </w:p>
          <w:p w:rsidR="002847DD" w:rsidRDefault="002847DD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2847DD" w:rsidRPr="00590894" w:rsidRDefault="002847DD" w:rsidP="002847DD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sz w:val="16"/>
                <w:szCs w:val="16"/>
              </w:rPr>
            </w:pPr>
            <w:r w:rsidRPr="00590894">
              <w:rPr>
                <w:rFonts w:cs="Arial"/>
                <w:sz w:val="16"/>
                <w:szCs w:val="16"/>
              </w:rPr>
              <w:t>Evaluar la eficacia de la acción tomada (</w:t>
            </w:r>
            <w:r w:rsidR="001C0155">
              <w:rPr>
                <w:rFonts w:cs="Arial"/>
                <w:sz w:val="16"/>
                <w:szCs w:val="16"/>
              </w:rPr>
              <w:t>enero 12</w:t>
            </w:r>
            <w:r w:rsidRPr="00590894">
              <w:rPr>
                <w:rFonts w:cs="Arial"/>
                <w:sz w:val="16"/>
                <w:szCs w:val="16"/>
              </w:rPr>
              <w:t xml:space="preserve"> de 2018).</w:t>
            </w:r>
          </w:p>
          <w:p w:rsidR="002847DD" w:rsidRPr="00AA106C" w:rsidRDefault="002847DD" w:rsidP="002847DD">
            <w:pPr>
              <w:pStyle w:val="Prrafodelista"/>
              <w:ind w:left="405"/>
              <w:jc w:val="both"/>
              <w:rPr>
                <w:rFonts w:cs="Arial"/>
                <w:sz w:val="16"/>
                <w:szCs w:val="16"/>
              </w:rPr>
            </w:pPr>
          </w:p>
          <w:p w:rsidR="002847DD" w:rsidRPr="00E604AC" w:rsidRDefault="002847DD" w:rsidP="00E604AC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90BBC" w:rsidRPr="00AA106C" w:rsidRDefault="00E90BBC" w:rsidP="006819C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92753B" w:rsidRPr="00AA106C" w:rsidRDefault="0092753B" w:rsidP="006819CE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157" w:tblpY="3811"/>
        <w:tblOverlap w:val="never"/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977"/>
        <w:gridCol w:w="1134"/>
        <w:gridCol w:w="1021"/>
        <w:gridCol w:w="2523"/>
        <w:gridCol w:w="2410"/>
        <w:gridCol w:w="3260"/>
      </w:tblGrid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CD6886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sz w:val="16"/>
                <w:szCs w:val="16"/>
              </w:rPr>
              <w:t xml:space="preserve">No se evidencia que en el </w:t>
            </w:r>
            <w:r w:rsidR="001652AC">
              <w:rPr>
                <w:rFonts w:cs="Arial"/>
                <w:sz w:val="16"/>
                <w:szCs w:val="16"/>
              </w:rPr>
              <w:t>proceso de garantías realizado</w:t>
            </w:r>
            <w:r w:rsidRPr="000B637C">
              <w:rPr>
                <w:rFonts w:cs="Arial"/>
                <w:sz w:val="16"/>
                <w:szCs w:val="16"/>
              </w:rPr>
              <w:t xml:space="preserve"> en las URI (s) se tenga en cuenta el contexto interno y externo para determinar los riesgos.</w:t>
            </w:r>
          </w:p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B637C" w:rsidRPr="000B637C" w:rsidRDefault="000B637C" w:rsidP="00F52E6E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b/>
                <w:sz w:val="16"/>
                <w:szCs w:val="16"/>
              </w:rPr>
              <w:t xml:space="preserve">Evidencia: </w:t>
            </w:r>
          </w:p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sz w:val="16"/>
                <w:szCs w:val="16"/>
              </w:rPr>
              <w:t>No se tiene identificado en el mapa de riesgos del proceso de garantías, con fecha l7 de julio de 2017 el riesgo de daño o no funcionamiento de la cámara de video en las audiencias realizadas fuera del despacho y salas de los juzgados ubicados en las URI. Evidenciado en el proceso de garantías No. 11001600001720171344800 del 23 de agosto de 2017.</w:t>
            </w:r>
          </w:p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b/>
                <w:sz w:val="16"/>
                <w:szCs w:val="16"/>
              </w:rPr>
              <w:t>SPA- Bogotá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  <w:p w:rsidR="003B7C27" w:rsidRPr="000B637C" w:rsidRDefault="003B7C2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6.1.1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37C" w:rsidRPr="000B637C" w:rsidRDefault="000B637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Incluir en el mapa de riesgos en el proceso de garantías</w:t>
            </w:r>
            <w:r w:rsidRPr="000B637C">
              <w:rPr>
                <w:rFonts w:cs="Arial"/>
                <w:sz w:val="16"/>
                <w:szCs w:val="16"/>
              </w:rPr>
              <w:t xml:space="preserve"> el riesgo de daño o no funcionamiento de la cámara de video en las audiencias realizadas fuera del despacho y salas de los juzgados ubicados en las URI. Evidenciado en el proceso de garantías No. 11001600001720171344800 del 23 de agosto de 2017</w:t>
            </w:r>
            <w:r w:rsidRPr="00045035">
              <w:rPr>
                <w:rFonts w:cs="Arial"/>
                <w:sz w:val="16"/>
                <w:szCs w:val="16"/>
              </w:rPr>
              <w:t>.</w:t>
            </w:r>
            <w:r w:rsidR="00045035">
              <w:rPr>
                <w:rFonts w:cs="Arial"/>
                <w:sz w:val="16"/>
                <w:szCs w:val="16"/>
              </w:rPr>
              <w:t xml:space="preserve">                    </w:t>
            </w:r>
            <w:r w:rsidR="00045035" w:rsidRPr="00045035">
              <w:rPr>
                <w:rFonts w:cs="Arial"/>
                <w:sz w:val="16"/>
                <w:szCs w:val="16"/>
              </w:rPr>
              <w:t>( Diciembre 29 del 2017)</w:t>
            </w:r>
          </w:p>
          <w:p w:rsidR="003B7C27" w:rsidRPr="000B637C" w:rsidRDefault="003B7C2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27" w:rsidRDefault="000B637C" w:rsidP="00F52E6E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Desconociendo</w:t>
            </w:r>
            <w:r w:rsidR="00B36AD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del </w:t>
            </w:r>
            <w:r w:rsidRPr="000B637C">
              <w:rPr>
                <w:rFonts w:cs="Arial"/>
                <w:sz w:val="16"/>
                <w:szCs w:val="16"/>
              </w:rPr>
              <w:t>contexto interno y externo para determinar los riesgos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B36ADB" w:rsidRDefault="00B36ADB" w:rsidP="00F52E6E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 se identificaron los riesgos relacionados con audiencias realizadas fuera del despacho.</w:t>
            </w:r>
          </w:p>
          <w:p w:rsidR="00B36ADB" w:rsidRDefault="00B36ADB" w:rsidP="00F52E6E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capacitación en administración de riesgos.</w:t>
            </w:r>
          </w:p>
          <w:p w:rsidR="00B36ADB" w:rsidRPr="000B637C" w:rsidRDefault="00B36ADB" w:rsidP="00F52E6E">
            <w:pPr>
              <w:pStyle w:val="Prrafodelista"/>
              <w:ind w:left="405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5758A" w:rsidRDefault="00F5758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5758A" w:rsidRDefault="00F5758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5758A" w:rsidRDefault="00F5758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5758A" w:rsidRDefault="00F5758A" w:rsidP="00590894">
            <w:pPr>
              <w:pStyle w:val="Prrafodelista"/>
              <w:ind w:left="405"/>
              <w:jc w:val="both"/>
              <w:rPr>
                <w:rFonts w:cs="Arial"/>
                <w:sz w:val="16"/>
                <w:szCs w:val="16"/>
              </w:rPr>
            </w:pPr>
          </w:p>
          <w:p w:rsidR="00590894" w:rsidRPr="00590894" w:rsidRDefault="00575771" w:rsidP="002847DD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sz w:val="16"/>
                <w:szCs w:val="16"/>
              </w:rPr>
            </w:pPr>
            <w:r w:rsidRPr="00590894">
              <w:rPr>
                <w:rFonts w:cs="Arial"/>
                <w:sz w:val="16"/>
                <w:szCs w:val="16"/>
              </w:rPr>
              <w:t>Capacitación</w:t>
            </w:r>
            <w:r w:rsidR="002E4117" w:rsidRPr="00590894">
              <w:rPr>
                <w:rFonts w:cs="Arial"/>
                <w:sz w:val="16"/>
                <w:szCs w:val="16"/>
              </w:rPr>
              <w:t xml:space="preserve"> a los servidores judiciales en temas sobre el contexto de la organización y administraci</w:t>
            </w:r>
            <w:r w:rsidRPr="00590894">
              <w:rPr>
                <w:rFonts w:cs="Arial"/>
                <w:sz w:val="16"/>
                <w:szCs w:val="16"/>
              </w:rPr>
              <w:t xml:space="preserve">ón de riesgos </w:t>
            </w:r>
            <w:r w:rsidR="002E4117" w:rsidRPr="00590894">
              <w:rPr>
                <w:rFonts w:cs="Arial"/>
                <w:sz w:val="16"/>
                <w:szCs w:val="16"/>
              </w:rPr>
              <w:t>(febrero 28 del 2018)</w:t>
            </w:r>
            <w:r w:rsidRPr="00590894">
              <w:rPr>
                <w:rFonts w:cs="Arial"/>
                <w:sz w:val="16"/>
                <w:szCs w:val="16"/>
              </w:rPr>
              <w:t>.</w:t>
            </w:r>
          </w:p>
          <w:p w:rsidR="00590894" w:rsidRDefault="00575771" w:rsidP="002847DD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sz w:val="16"/>
                <w:szCs w:val="16"/>
              </w:rPr>
            </w:pPr>
            <w:r w:rsidRPr="00590894">
              <w:rPr>
                <w:rFonts w:cs="Arial"/>
                <w:sz w:val="16"/>
                <w:szCs w:val="16"/>
              </w:rPr>
              <w:t>Ajustar los mapas de riesgos de todos los procesos y el procedimiento de administración de</w:t>
            </w:r>
            <w:r w:rsidR="00590894" w:rsidRPr="00590894">
              <w:rPr>
                <w:rFonts w:cs="Arial"/>
                <w:sz w:val="16"/>
                <w:szCs w:val="16"/>
              </w:rPr>
              <w:t xml:space="preserve"> riesgos teniendo en cuenta el contexto de la organización, la ley anticorrupción y la antisoborno </w:t>
            </w:r>
            <w:r w:rsidRPr="00590894">
              <w:rPr>
                <w:rFonts w:cs="Arial"/>
                <w:sz w:val="16"/>
                <w:szCs w:val="16"/>
              </w:rPr>
              <w:t>(marzo 30 del 2018)</w:t>
            </w:r>
            <w:r w:rsidR="00590894" w:rsidRPr="00590894">
              <w:rPr>
                <w:rFonts w:cs="Arial"/>
                <w:sz w:val="16"/>
                <w:szCs w:val="16"/>
              </w:rPr>
              <w:t>.</w:t>
            </w:r>
          </w:p>
          <w:p w:rsidR="00575771" w:rsidRPr="00590894" w:rsidRDefault="00575771" w:rsidP="002847DD">
            <w:pPr>
              <w:pStyle w:val="Prrafodelista"/>
              <w:numPr>
                <w:ilvl w:val="0"/>
                <w:numId w:val="59"/>
              </w:numPr>
              <w:jc w:val="both"/>
              <w:rPr>
                <w:rFonts w:cs="Arial"/>
                <w:sz w:val="16"/>
                <w:szCs w:val="16"/>
              </w:rPr>
            </w:pPr>
            <w:r w:rsidRPr="00590894">
              <w:rPr>
                <w:rFonts w:cs="Arial"/>
                <w:sz w:val="16"/>
                <w:szCs w:val="16"/>
              </w:rPr>
              <w:t>Evaluar la eficacia de la acción tomada (</w:t>
            </w:r>
            <w:r w:rsidR="00F5758A" w:rsidRPr="00590894">
              <w:rPr>
                <w:rFonts w:cs="Arial"/>
                <w:sz w:val="16"/>
                <w:szCs w:val="16"/>
              </w:rPr>
              <w:t>abril</w:t>
            </w:r>
            <w:r w:rsidRPr="00590894">
              <w:rPr>
                <w:rFonts w:cs="Arial"/>
                <w:sz w:val="16"/>
                <w:szCs w:val="16"/>
              </w:rPr>
              <w:t xml:space="preserve"> </w:t>
            </w:r>
            <w:r w:rsidR="00F5758A" w:rsidRPr="00590894">
              <w:rPr>
                <w:rFonts w:cs="Arial"/>
                <w:sz w:val="16"/>
                <w:szCs w:val="16"/>
              </w:rPr>
              <w:t>5</w:t>
            </w:r>
            <w:r w:rsidRPr="00590894">
              <w:rPr>
                <w:rFonts w:cs="Arial"/>
                <w:sz w:val="16"/>
                <w:szCs w:val="16"/>
              </w:rPr>
              <w:t xml:space="preserve"> de 2018).</w:t>
            </w:r>
          </w:p>
          <w:p w:rsidR="00575771" w:rsidRPr="00AA106C" w:rsidRDefault="00575771" w:rsidP="00590894">
            <w:pPr>
              <w:pStyle w:val="Prrafodelista"/>
              <w:ind w:left="405"/>
              <w:jc w:val="both"/>
              <w:rPr>
                <w:rFonts w:cs="Arial"/>
                <w:sz w:val="16"/>
                <w:szCs w:val="16"/>
              </w:rPr>
            </w:pPr>
          </w:p>
          <w:p w:rsidR="00575771" w:rsidRPr="000B637C" w:rsidRDefault="0057577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CD6886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B637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F0DE7" w:rsidRPr="000F0DE7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F0DE7">
              <w:rPr>
                <w:rFonts w:cs="Arial"/>
                <w:sz w:val="16"/>
                <w:szCs w:val="16"/>
              </w:rPr>
              <w:t>Se evidencia inconsistencias en los registros  realizados en el aplicativo siglo XXI para los procesos que gestiona el grupo del tribunal y preclusiones del proceso gestión de servicios judiciales</w:t>
            </w:r>
          </w:p>
          <w:p w:rsidR="003B7C27" w:rsidRDefault="003B7C2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F0DE7" w:rsidRDefault="000F0DE7" w:rsidP="00F52E6E">
            <w:pPr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  <w:r w:rsidRPr="000F0DE7">
              <w:rPr>
                <w:rFonts w:cs="Arial"/>
                <w:b/>
                <w:sz w:val="16"/>
                <w:szCs w:val="16"/>
              </w:rPr>
              <w:lastRenderedPageBreak/>
              <w:t xml:space="preserve">Evidencia: </w:t>
            </w:r>
          </w:p>
          <w:p w:rsidR="000F0DE7" w:rsidRDefault="000F0DE7" w:rsidP="00F52E6E">
            <w:pPr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0F0DE7" w:rsidRPr="000F0DE7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F0DE7">
              <w:rPr>
                <w:rFonts w:cs="Arial"/>
                <w:sz w:val="16"/>
                <w:szCs w:val="16"/>
              </w:rPr>
              <w:t>NI 277092 oficios registrados en siglo XXI 12020 y 12019, en la carpeta se ubicaron los oficios 12022, 12021 y 12017</w:t>
            </w:r>
          </w:p>
          <w:p w:rsidR="000F0DE7" w:rsidRPr="000F0DE7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0F0DE7" w:rsidRPr="000F0DE7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0F0DE7">
              <w:rPr>
                <w:rFonts w:cs="Arial"/>
                <w:sz w:val="16"/>
                <w:szCs w:val="16"/>
              </w:rPr>
              <w:t>NI 276438 oficios registrados en siglo XXI 12011 al 12016, en la carpeta se ubicaron los oficios del 12012 al 12016</w:t>
            </w:r>
          </w:p>
          <w:p w:rsidR="000F0DE7" w:rsidRPr="000F0DE7" w:rsidRDefault="000F0DE7" w:rsidP="00F52E6E">
            <w:pPr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  <w:r w:rsidRPr="000F0DE7">
              <w:rPr>
                <w:rFonts w:cs="Arial"/>
                <w:b/>
                <w:sz w:val="16"/>
                <w:szCs w:val="16"/>
              </w:rPr>
              <w:t>SPA- Bogotá</w:t>
            </w:r>
          </w:p>
          <w:p w:rsidR="000F0DE7" w:rsidRPr="000B637C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3B7C27" w:rsidRPr="000B637C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.5.3 y 8.5.2</w:t>
            </w:r>
            <w:r w:rsidRPr="00AA106C"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F0A" w:rsidRPr="00130F0A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Corregir </w:t>
            </w:r>
            <w:r w:rsidR="00130F0A">
              <w:rPr>
                <w:rFonts w:cs="Arial"/>
                <w:sz w:val="16"/>
                <w:szCs w:val="16"/>
              </w:rPr>
              <w:t xml:space="preserve">en </w:t>
            </w:r>
            <w:r w:rsidR="00130F0A" w:rsidRPr="000F0DE7">
              <w:rPr>
                <w:rFonts w:cs="Arial"/>
                <w:sz w:val="16"/>
                <w:szCs w:val="16"/>
              </w:rPr>
              <w:t xml:space="preserve">siglo XXI </w:t>
            </w:r>
            <w:r>
              <w:rPr>
                <w:rFonts w:cs="Arial"/>
                <w:sz w:val="16"/>
                <w:szCs w:val="16"/>
              </w:rPr>
              <w:t>los oficios</w:t>
            </w:r>
            <w:r w:rsidR="00130F0A">
              <w:rPr>
                <w:rFonts w:cs="Arial"/>
                <w:sz w:val="16"/>
                <w:szCs w:val="16"/>
              </w:rPr>
              <w:t xml:space="preserve"> correspondientes de acuerdo a la carpeta física de los procesos con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F0DE7">
              <w:rPr>
                <w:rFonts w:cs="Arial"/>
                <w:sz w:val="16"/>
                <w:szCs w:val="16"/>
              </w:rPr>
              <w:t xml:space="preserve">NI 277092 </w:t>
            </w:r>
            <w:r w:rsidR="00130F0A">
              <w:rPr>
                <w:rFonts w:cs="Arial"/>
                <w:sz w:val="16"/>
                <w:szCs w:val="16"/>
              </w:rPr>
              <w:t>y NI 276438</w:t>
            </w:r>
            <w:r w:rsidR="006A0D87" w:rsidRPr="006A0D87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6A0D87">
              <w:rPr>
                <w:rFonts w:cs="Arial"/>
                <w:color w:val="000000" w:themeColor="text1"/>
                <w:sz w:val="16"/>
                <w:szCs w:val="16"/>
              </w:rPr>
              <w:t>octubre 6 del 2017)</w:t>
            </w:r>
          </w:p>
          <w:p w:rsidR="000F0DE7" w:rsidRPr="000F0DE7" w:rsidRDefault="000F0DE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8016F" w:rsidRPr="000B637C" w:rsidRDefault="00D8016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C27" w:rsidRDefault="00130F0A" w:rsidP="00F52E6E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Falta de atención </w:t>
            </w:r>
            <w:r w:rsidR="00855EF2">
              <w:rPr>
                <w:rFonts w:cs="Arial"/>
                <w:sz w:val="16"/>
                <w:szCs w:val="16"/>
              </w:rPr>
              <w:t xml:space="preserve">y compromiso </w:t>
            </w:r>
            <w:r>
              <w:rPr>
                <w:rFonts w:cs="Arial"/>
                <w:sz w:val="16"/>
                <w:szCs w:val="16"/>
              </w:rPr>
              <w:t xml:space="preserve">al realizar los registros en </w:t>
            </w:r>
            <w:r w:rsidRPr="000F0DE7">
              <w:rPr>
                <w:rFonts w:cs="Arial"/>
                <w:sz w:val="16"/>
                <w:szCs w:val="16"/>
              </w:rPr>
              <w:t>siglo XXI</w:t>
            </w:r>
            <w:r>
              <w:rPr>
                <w:rFonts w:cs="Arial"/>
                <w:sz w:val="16"/>
                <w:szCs w:val="16"/>
              </w:rPr>
              <w:t>.</w:t>
            </w:r>
            <w:r w:rsidR="00855EF2">
              <w:rPr>
                <w:rFonts w:cs="Arial"/>
                <w:sz w:val="16"/>
                <w:szCs w:val="16"/>
              </w:rPr>
              <w:t>(distractores por celulares, internet)</w:t>
            </w:r>
          </w:p>
          <w:p w:rsidR="00130F0A" w:rsidRDefault="00855EF2" w:rsidP="00F52E6E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Premura en la realización de los registros.</w:t>
            </w:r>
          </w:p>
          <w:p w:rsidR="00855EF2" w:rsidRDefault="00855EF2" w:rsidP="00F52E6E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Excesiva carga laboral.</w:t>
            </w:r>
          </w:p>
          <w:p w:rsidR="00855EF2" w:rsidRDefault="00855EF2" w:rsidP="00F52E6E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personal.</w:t>
            </w:r>
          </w:p>
          <w:p w:rsidR="00855EF2" w:rsidRPr="000B637C" w:rsidRDefault="00855EF2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714D0C" w:rsidRPr="002337C4">
              <w:rPr>
                <w:rFonts w:cs="Arial"/>
                <w:sz w:val="16"/>
                <w:szCs w:val="16"/>
              </w:rPr>
              <w:t xml:space="preserve">Sensibilización para la atención y compromiso </w:t>
            </w:r>
            <w:r w:rsidR="00F4040A" w:rsidRPr="002337C4">
              <w:rPr>
                <w:rFonts w:cs="Arial"/>
                <w:sz w:val="16"/>
                <w:szCs w:val="16"/>
              </w:rPr>
              <w:t>de la función del cargo.(abril 30 del 2018)</w:t>
            </w:r>
          </w:p>
          <w:p w:rsid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F4040A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2. </w:t>
            </w:r>
            <w:r w:rsidR="00F4040A" w:rsidRPr="002337C4">
              <w:rPr>
                <w:rFonts w:cs="Arial"/>
                <w:sz w:val="16"/>
                <w:szCs w:val="16"/>
              </w:rPr>
              <w:t>Elaborar herramientas didácticas    (diapositivas, boletines) relacionados con la administración del tiempo</w:t>
            </w:r>
            <w:r>
              <w:rPr>
                <w:rFonts w:cs="Arial"/>
                <w:sz w:val="16"/>
                <w:szCs w:val="16"/>
              </w:rPr>
              <w:t xml:space="preserve"> por los servidores judiciales del Centro de Servicios(</w:t>
            </w:r>
            <w:r w:rsidR="00F4040A" w:rsidRPr="002337C4">
              <w:rPr>
                <w:rFonts w:cs="Arial"/>
                <w:sz w:val="16"/>
                <w:szCs w:val="16"/>
              </w:rPr>
              <w:t xml:space="preserve"> Enero 15 del 2018)</w:t>
            </w:r>
          </w:p>
          <w:p w:rsidR="002337C4" w:rsidRPr="002337C4" w:rsidRDefault="002337C4" w:rsidP="000530F9">
            <w:pPr>
              <w:pStyle w:val="Prrafodelista"/>
              <w:numPr>
                <w:ilvl w:val="0"/>
                <w:numId w:val="18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F4040A" w:rsidRPr="00F4040A" w:rsidRDefault="002337C4" w:rsidP="00F52E6E">
            <w:pPr>
              <w:pStyle w:val="Prrafodelista"/>
              <w:ind w:left="8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r w:rsidR="00F4040A" w:rsidRPr="00F4040A">
              <w:rPr>
                <w:rFonts w:cs="Arial"/>
                <w:sz w:val="16"/>
                <w:szCs w:val="16"/>
              </w:rPr>
              <w:t>Evaluar la eficacia de la acción tomada (</w:t>
            </w:r>
            <w:r>
              <w:rPr>
                <w:rFonts w:cs="Arial"/>
                <w:sz w:val="16"/>
                <w:szCs w:val="16"/>
              </w:rPr>
              <w:t>mayo</w:t>
            </w:r>
            <w:r w:rsidR="00F4040A" w:rsidRPr="00F4040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7</w:t>
            </w:r>
            <w:r w:rsidR="00F4040A" w:rsidRPr="00F4040A">
              <w:rPr>
                <w:rFonts w:cs="Arial"/>
                <w:sz w:val="16"/>
                <w:szCs w:val="16"/>
              </w:rPr>
              <w:t xml:space="preserve"> de 2018).</w:t>
            </w:r>
          </w:p>
          <w:p w:rsidR="00F4040A" w:rsidRPr="00F4040A" w:rsidRDefault="00F4040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337C4" w:rsidRPr="000B637C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337C4" w:rsidRPr="002B0585" w:rsidRDefault="002337C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2337C4">
              <w:rPr>
                <w:rFonts w:cs="Arial"/>
                <w:sz w:val="16"/>
                <w:szCs w:val="16"/>
              </w:rPr>
              <w:t xml:space="preserve">La Organización no se asegura que las salidas que no sean conformes con sus requisitos se identifican y se controlan para prevenir su uso o entrega no intencional- </w:t>
            </w:r>
            <w:r w:rsidRPr="002B0585">
              <w:rPr>
                <w:rFonts w:cs="Arial"/>
                <w:b/>
                <w:sz w:val="16"/>
                <w:szCs w:val="16"/>
              </w:rPr>
              <w:t xml:space="preserve">SECCIONAL  META </w:t>
            </w:r>
          </w:p>
          <w:p w:rsidR="002337C4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337C4" w:rsidRDefault="002337C4" w:rsidP="00F52E6E">
            <w:pPr>
              <w:contextualSpacing/>
              <w:jc w:val="both"/>
              <w:rPr>
                <w:rFonts w:cs="Arial"/>
                <w:b/>
                <w:sz w:val="16"/>
                <w:szCs w:val="16"/>
              </w:rPr>
            </w:pPr>
            <w:r w:rsidRPr="000F0DE7">
              <w:rPr>
                <w:rFonts w:cs="Arial"/>
                <w:b/>
                <w:sz w:val="16"/>
                <w:szCs w:val="16"/>
              </w:rPr>
              <w:t xml:space="preserve">Evidencia: </w:t>
            </w:r>
          </w:p>
          <w:p w:rsidR="002337C4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337C4" w:rsidRPr="002337C4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2337C4">
              <w:rPr>
                <w:rFonts w:cs="Arial"/>
                <w:sz w:val="16"/>
                <w:szCs w:val="16"/>
              </w:rPr>
              <w:t xml:space="preserve">No se evidenciaron registros ni información sobre los productos/salidas no conforme de los procesos durante el ciclo 2016-2017.  </w:t>
            </w:r>
          </w:p>
          <w:p w:rsidR="002337C4" w:rsidRPr="000F0DE7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337C4" w:rsidRDefault="002337C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337C4" w:rsidRPr="00AA106C" w:rsidRDefault="001861B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 y 8.3</w:t>
            </w:r>
            <w:r w:rsidRPr="00AA106C"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37C4" w:rsidRDefault="001861B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Identificar el producto no conforme y controlar </w:t>
            </w:r>
            <w:r w:rsidRPr="002337C4">
              <w:rPr>
                <w:rFonts w:cs="Arial"/>
                <w:sz w:val="16"/>
                <w:szCs w:val="16"/>
              </w:rPr>
              <w:t>para prevenir su uso o entrega no intencional</w:t>
            </w:r>
            <w:r>
              <w:rPr>
                <w:rFonts w:cs="Arial"/>
                <w:sz w:val="16"/>
                <w:szCs w:val="16"/>
              </w:rPr>
              <w:t xml:space="preserve"> del ciclo 2016 – 2017 y darles el tratamiento debido</w:t>
            </w:r>
            <w:r w:rsidR="0015632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(enero 12 del 2018)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61B3" w:rsidRDefault="001861B3" w:rsidP="000530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Desconocimiento</w:t>
            </w:r>
            <w:r w:rsidR="00151D47">
              <w:rPr>
                <w:rFonts w:cs="Arial"/>
                <w:sz w:val="16"/>
                <w:szCs w:val="16"/>
              </w:rPr>
              <w:t xml:space="preserve"> en</w:t>
            </w:r>
            <w:r>
              <w:rPr>
                <w:rFonts w:cs="Arial"/>
                <w:sz w:val="16"/>
                <w:szCs w:val="16"/>
              </w:rPr>
              <w:t xml:space="preserve"> la identificación del producto no conforme y su tratamiento.</w:t>
            </w:r>
          </w:p>
          <w:p w:rsidR="002337C4" w:rsidRDefault="001861B3" w:rsidP="000530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571190">
              <w:rPr>
                <w:rFonts w:cs="Arial"/>
                <w:sz w:val="16"/>
                <w:szCs w:val="16"/>
              </w:rPr>
              <w:t>Falta de consolidación de los productos no conformes</w:t>
            </w:r>
            <w:r w:rsidR="00151D47">
              <w:rPr>
                <w:rFonts w:cs="Arial"/>
                <w:sz w:val="16"/>
                <w:szCs w:val="16"/>
              </w:rPr>
              <w:t>.</w:t>
            </w:r>
          </w:p>
          <w:p w:rsidR="00151D47" w:rsidRDefault="00151D47" w:rsidP="000530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Desconocimiento del procedimiento de producto no conforme.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337C4" w:rsidRPr="004C56C0" w:rsidRDefault="004C56C0" w:rsidP="004C56C0">
            <w:pPr>
              <w:pStyle w:val="Prrafodelista"/>
              <w:numPr>
                <w:ilvl w:val="0"/>
                <w:numId w:val="4"/>
              </w:numPr>
              <w:ind w:left="4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4C56C0">
              <w:rPr>
                <w:rFonts w:cs="Arial"/>
                <w:sz w:val="16"/>
                <w:szCs w:val="16"/>
              </w:rPr>
              <w:t xml:space="preserve"> Divulgar</w:t>
            </w:r>
            <w:r w:rsidR="004E1381" w:rsidRPr="004C56C0">
              <w:rPr>
                <w:rFonts w:cs="Arial"/>
                <w:sz w:val="16"/>
                <w:szCs w:val="16"/>
              </w:rPr>
              <w:t xml:space="preserve"> el link en el aula virtual de la EJRLB </w:t>
            </w:r>
            <w:r w:rsidR="00517DF2" w:rsidRPr="004C56C0">
              <w:rPr>
                <w:rFonts w:cs="Arial"/>
                <w:sz w:val="16"/>
                <w:szCs w:val="16"/>
              </w:rPr>
              <w:t>d</w:t>
            </w:r>
            <w:r w:rsidR="004E1381" w:rsidRPr="004C56C0">
              <w:rPr>
                <w:rFonts w:cs="Arial"/>
                <w:sz w:val="16"/>
                <w:szCs w:val="16"/>
              </w:rPr>
              <w:t>el procedimiento de</w:t>
            </w:r>
            <w:r w:rsidR="00D67F81" w:rsidRPr="004C56C0">
              <w:rPr>
                <w:rFonts w:cs="Arial"/>
                <w:sz w:val="16"/>
                <w:szCs w:val="16"/>
              </w:rPr>
              <w:t xml:space="preserve"> identificación de produc</w:t>
            </w:r>
            <w:r>
              <w:rPr>
                <w:rFonts w:cs="Arial"/>
                <w:sz w:val="16"/>
                <w:szCs w:val="16"/>
              </w:rPr>
              <w:t xml:space="preserve">to no conforme y su </w:t>
            </w:r>
            <w:r w:rsidR="004E1381" w:rsidRPr="004C56C0">
              <w:rPr>
                <w:rFonts w:cs="Arial"/>
                <w:sz w:val="16"/>
                <w:szCs w:val="16"/>
              </w:rPr>
              <w:t>tratamiento</w:t>
            </w:r>
            <w:r w:rsidR="008D6F82" w:rsidRPr="004C56C0">
              <w:rPr>
                <w:rFonts w:cs="Arial"/>
                <w:sz w:val="16"/>
                <w:szCs w:val="16"/>
              </w:rPr>
              <w:t xml:space="preserve"> (</w:t>
            </w:r>
            <w:r w:rsidR="00EA57C7" w:rsidRPr="004C56C0">
              <w:rPr>
                <w:rFonts w:cs="Arial"/>
                <w:sz w:val="16"/>
                <w:szCs w:val="16"/>
              </w:rPr>
              <w:t>septiembre 27 del 2017</w:t>
            </w:r>
            <w:r w:rsidR="002B0585" w:rsidRPr="004C56C0">
              <w:rPr>
                <w:rFonts w:cs="Arial"/>
                <w:sz w:val="16"/>
                <w:szCs w:val="16"/>
              </w:rPr>
              <w:t>).</w:t>
            </w:r>
          </w:p>
          <w:p w:rsidR="004C56C0" w:rsidRDefault="004C56C0" w:rsidP="004C56C0">
            <w:pPr>
              <w:pStyle w:val="Prrafodelista"/>
              <w:numPr>
                <w:ilvl w:val="0"/>
                <w:numId w:val="4"/>
              </w:numPr>
              <w:ind w:left="43"/>
              <w:jc w:val="both"/>
              <w:rPr>
                <w:rFonts w:cs="Arial"/>
                <w:sz w:val="16"/>
                <w:szCs w:val="16"/>
              </w:rPr>
            </w:pPr>
          </w:p>
          <w:p w:rsidR="004C56C0" w:rsidRPr="004C56C0" w:rsidRDefault="004C56C0" w:rsidP="004C56C0">
            <w:pPr>
              <w:pStyle w:val="Prrafodelista"/>
              <w:numPr>
                <w:ilvl w:val="0"/>
                <w:numId w:val="4"/>
              </w:numPr>
              <w:ind w:left="43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Realización del V Conversatorio Nacional SIGCMA donde se dará énfasis en la identificación de producto no conforme y su tratamiento a nivel nacional, tanto administrativo como judicial (Noviembre 20 y 21 del 2017).</w:t>
            </w:r>
          </w:p>
          <w:p w:rsidR="008D6F82" w:rsidRDefault="008D6F82" w:rsidP="004C56C0">
            <w:pPr>
              <w:pStyle w:val="Prrafodelista"/>
              <w:numPr>
                <w:ilvl w:val="0"/>
                <w:numId w:val="56"/>
              </w:numPr>
              <w:ind w:left="0" w:hanging="639"/>
              <w:jc w:val="both"/>
              <w:rPr>
                <w:rFonts w:cs="Arial"/>
                <w:sz w:val="16"/>
                <w:szCs w:val="16"/>
              </w:rPr>
            </w:pPr>
          </w:p>
          <w:p w:rsidR="002B0585" w:rsidRDefault="004C56C0" w:rsidP="004C56C0">
            <w:pPr>
              <w:pStyle w:val="Prrafodelista"/>
              <w:numPr>
                <w:ilvl w:val="0"/>
                <w:numId w:val="56"/>
              </w:numPr>
              <w:ind w:left="0" w:hanging="63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B0585">
              <w:rPr>
                <w:rFonts w:cs="Arial"/>
                <w:sz w:val="16"/>
                <w:szCs w:val="16"/>
              </w:rPr>
              <w:t>. Realizar el informe de revisión para la alta dirección dentro del primer trimestre de del año siguiente contemplando la consoli</w:t>
            </w:r>
            <w:r w:rsidR="00231703">
              <w:rPr>
                <w:rFonts w:cs="Arial"/>
                <w:sz w:val="16"/>
                <w:szCs w:val="16"/>
              </w:rPr>
              <w:t xml:space="preserve">dación del producto no conforme </w:t>
            </w:r>
            <w:r w:rsidR="006E46A9">
              <w:rPr>
                <w:rFonts w:cs="Arial"/>
                <w:sz w:val="16"/>
                <w:szCs w:val="16"/>
              </w:rPr>
              <w:t xml:space="preserve">por cada </w:t>
            </w:r>
            <w:r w:rsidR="00B96C34">
              <w:rPr>
                <w:rFonts w:cs="Arial"/>
                <w:sz w:val="16"/>
                <w:szCs w:val="16"/>
              </w:rPr>
              <w:t>seccional. (</w:t>
            </w:r>
            <w:r w:rsidR="002B0585">
              <w:rPr>
                <w:rFonts w:cs="Arial"/>
                <w:sz w:val="16"/>
                <w:szCs w:val="16"/>
              </w:rPr>
              <w:t>marzo 30 del 2018)</w:t>
            </w:r>
            <w:r w:rsidR="00231703">
              <w:rPr>
                <w:rFonts w:cs="Arial"/>
                <w:sz w:val="16"/>
                <w:szCs w:val="16"/>
              </w:rPr>
              <w:t>.</w:t>
            </w:r>
          </w:p>
          <w:p w:rsidR="00231703" w:rsidRDefault="00231703" w:rsidP="004C56C0">
            <w:pPr>
              <w:pStyle w:val="Prrafodelista"/>
              <w:numPr>
                <w:ilvl w:val="0"/>
                <w:numId w:val="56"/>
              </w:numPr>
              <w:ind w:left="0" w:hanging="639"/>
              <w:jc w:val="both"/>
              <w:rPr>
                <w:rFonts w:cs="Arial"/>
                <w:sz w:val="16"/>
                <w:szCs w:val="16"/>
              </w:rPr>
            </w:pPr>
          </w:p>
          <w:p w:rsidR="002B0585" w:rsidRPr="00F4040A" w:rsidRDefault="004C56C0" w:rsidP="004C56C0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B0585">
              <w:rPr>
                <w:rFonts w:cs="Arial"/>
                <w:sz w:val="16"/>
                <w:szCs w:val="16"/>
              </w:rPr>
              <w:t xml:space="preserve">. </w:t>
            </w:r>
            <w:r w:rsidR="002B0585" w:rsidRPr="00F4040A">
              <w:rPr>
                <w:rFonts w:cs="Arial"/>
                <w:sz w:val="16"/>
                <w:szCs w:val="16"/>
              </w:rPr>
              <w:t>Evaluar la eficacia de la acción tomada (</w:t>
            </w:r>
            <w:r w:rsidR="002B0585">
              <w:rPr>
                <w:rFonts w:cs="Arial"/>
                <w:sz w:val="16"/>
                <w:szCs w:val="16"/>
              </w:rPr>
              <w:t>abril</w:t>
            </w:r>
            <w:r w:rsidR="002B0585" w:rsidRPr="00F4040A">
              <w:rPr>
                <w:rFonts w:cs="Arial"/>
                <w:sz w:val="16"/>
                <w:szCs w:val="16"/>
              </w:rPr>
              <w:t xml:space="preserve"> </w:t>
            </w:r>
            <w:r w:rsidR="002B0585">
              <w:rPr>
                <w:rFonts w:cs="Arial"/>
                <w:sz w:val="16"/>
                <w:szCs w:val="16"/>
              </w:rPr>
              <w:t>6</w:t>
            </w:r>
            <w:r w:rsidR="002B0585" w:rsidRPr="00F4040A">
              <w:rPr>
                <w:rFonts w:cs="Arial"/>
                <w:sz w:val="16"/>
                <w:szCs w:val="16"/>
              </w:rPr>
              <w:t xml:space="preserve"> de 2018).</w:t>
            </w:r>
          </w:p>
          <w:p w:rsidR="002B0585" w:rsidRDefault="002B0585" w:rsidP="004C56C0">
            <w:pPr>
              <w:pStyle w:val="Prrafodelista"/>
              <w:numPr>
                <w:ilvl w:val="0"/>
                <w:numId w:val="56"/>
              </w:numPr>
              <w:ind w:left="0" w:hanging="639"/>
              <w:jc w:val="both"/>
              <w:rPr>
                <w:rFonts w:cs="Arial"/>
                <w:sz w:val="16"/>
                <w:szCs w:val="16"/>
              </w:rPr>
            </w:pPr>
          </w:p>
          <w:p w:rsidR="00D67F81" w:rsidRPr="002B0585" w:rsidRDefault="00D67F81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D6F82" w:rsidRDefault="008D6F82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D6F82" w:rsidRDefault="006C09AC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C09AC">
              <w:rPr>
                <w:rFonts w:cs="Arial"/>
                <w:sz w:val="16"/>
                <w:szCs w:val="16"/>
              </w:rPr>
              <w:t xml:space="preserve">En el caso mencionado no se llevó a cabo la producción y provisión del servicio bajo condiciones controladas. </w:t>
            </w:r>
            <w:r w:rsidRPr="006C09AC">
              <w:rPr>
                <w:rFonts w:cs="Arial"/>
                <w:b/>
                <w:sz w:val="16"/>
                <w:szCs w:val="16"/>
              </w:rPr>
              <w:t>SECCIONAL  META</w:t>
            </w:r>
          </w:p>
          <w:p w:rsidR="006C09AC" w:rsidRDefault="006C09AC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C09AC" w:rsidRDefault="006C09AC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6C09AC" w:rsidRPr="006C09AC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6C09AC">
              <w:rPr>
                <w:rFonts w:cs="Arial"/>
                <w:sz w:val="16"/>
                <w:szCs w:val="16"/>
              </w:rPr>
              <w:t>No se evidencia dentro de la base de datos de Registro de Auxiliares de la Justicia, la información de la resolución DESAJVIO 17-1114 de marzo 30 de 2017. Ejm C:C  40391206- 19016.345  - SECCIONAL META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D6F82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D6F82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8.5.1 y 7.5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6F82" w:rsidRDefault="00424230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Registrar en la base de datos de </w:t>
            </w:r>
            <w:r w:rsidRPr="006C09AC">
              <w:rPr>
                <w:rFonts w:cs="Arial"/>
                <w:sz w:val="16"/>
                <w:szCs w:val="16"/>
              </w:rPr>
              <w:t xml:space="preserve">Registro de Auxiliares de la Justicia, la información </w:t>
            </w:r>
            <w:r>
              <w:rPr>
                <w:rFonts w:cs="Arial"/>
                <w:sz w:val="16"/>
                <w:szCs w:val="16"/>
              </w:rPr>
              <w:t xml:space="preserve">faltante </w:t>
            </w:r>
            <w:r w:rsidRPr="006C09AC">
              <w:rPr>
                <w:rFonts w:cs="Arial"/>
                <w:sz w:val="16"/>
                <w:szCs w:val="16"/>
              </w:rPr>
              <w:t>de la resolución DESAJVIO 17-1114 de marzo 30 de 2017</w:t>
            </w:r>
            <w:r w:rsidR="00EA57C7">
              <w:rPr>
                <w:rFonts w:cs="Arial"/>
                <w:sz w:val="16"/>
                <w:szCs w:val="16"/>
              </w:rPr>
              <w:t>(Octubre 31 del 2017</w:t>
            </w:r>
            <w:r w:rsidR="009D021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2007A" w:rsidRPr="00332CBD" w:rsidRDefault="00332CBD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22007A" w:rsidRPr="00332CBD">
              <w:rPr>
                <w:rFonts w:cs="Arial"/>
                <w:sz w:val="16"/>
                <w:szCs w:val="16"/>
              </w:rPr>
              <w:t>Excesiva carga laboral.</w:t>
            </w:r>
          </w:p>
          <w:p w:rsidR="008D6F82" w:rsidRPr="00332CBD" w:rsidRDefault="00332CBD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Pr="00332CBD">
              <w:rPr>
                <w:rFonts w:cs="Arial"/>
                <w:sz w:val="16"/>
                <w:szCs w:val="16"/>
              </w:rPr>
              <w:t>Desconocimiento del procedimiento</w:t>
            </w:r>
            <w:r>
              <w:rPr>
                <w:rFonts w:cs="Arial"/>
                <w:sz w:val="16"/>
                <w:szCs w:val="16"/>
              </w:rPr>
              <w:t>.</w:t>
            </w:r>
            <w:r w:rsidR="00424230" w:rsidRPr="00332CBD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176D2" w:rsidRDefault="004E1381" w:rsidP="000530F9">
            <w:pPr>
              <w:pStyle w:val="Prrafodelista"/>
              <w:numPr>
                <w:ilvl w:val="0"/>
                <w:numId w:val="55"/>
              </w:numPr>
              <w:jc w:val="both"/>
              <w:rPr>
                <w:rFonts w:cs="Arial"/>
                <w:sz w:val="16"/>
                <w:szCs w:val="16"/>
              </w:rPr>
            </w:pPr>
            <w:r w:rsidRPr="006176D2">
              <w:rPr>
                <w:rFonts w:cs="Arial"/>
                <w:sz w:val="16"/>
                <w:szCs w:val="16"/>
              </w:rPr>
              <w:t xml:space="preserve">Divulgar el link en el aula virtual de la EJRLB, en el que se encuentra </w:t>
            </w:r>
            <w:r w:rsidR="006819CE" w:rsidRPr="006176D2">
              <w:rPr>
                <w:rFonts w:cs="Arial"/>
                <w:sz w:val="16"/>
                <w:szCs w:val="16"/>
              </w:rPr>
              <w:t>los procedimientos del</w:t>
            </w:r>
            <w:r w:rsidR="00EA57C7" w:rsidRPr="006176D2">
              <w:rPr>
                <w:rFonts w:cs="Arial"/>
                <w:sz w:val="16"/>
                <w:szCs w:val="16"/>
              </w:rPr>
              <w:t xml:space="preserve"> proceso de Registro Nacional de Abogados y Auxiliares de la Justicia. (se</w:t>
            </w:r>
            <w:r w:rsidR="006176D2">
              <w:rPr>
                <w:rFonts w:cs="Arial"/>
                <w:sz w:val="16"/>
                <w:szCs w:val="16"/>
              </w:rPr>
              <w:t>ptiembre 27 del 2017).</w:t>
            </w:r>
          </w:p>
          <w:p w:rsidR="006176D2" w:rsidRDefault="006176D2" w:rsidP="000530F9">
            <w:pPr>
              <w:pStyle w:val="Prrafodelista"/>
              <w:numPr>
                <w:ilvl w:val="0"/>
                <w:numId w:val="55"/>
              </w:numPr>
              <w:jc w:val="both"/>
              <w:rPr>
                <w:rFonts w:cs="Arial"/>
                <w:sz w:val="16"/>
                <w:szCs w:val="16"/>
              </w:rPr>
            </w:pPr>
            <w:r w:rsidRPr="006176D2">
              <w:rPr>
                <w:rFonts w:cs="Arial"/>
                <w:sz w:val="16"/>
                <w:szCs w:val="16"/>
              </w:rPr>
              <w:t>S</w:t>
            </w:r>
            <w:r w:rsidR="00EA57C7" w:rsidRPr="006176D2">
              <w:rPr>
                <w:rFonts w:cs="Arial"/>
                <w:sz w:val="16"/>
                <w:szCs w:val="16"/>
              </w:rPr>
              <w:t>eguimiento periódico del registro en la base de datos de Registro de Auxiliares de la Justicia de</w:t>
            </w:r>
            <w:r w:rsidRPr="006176D2">
              <w:rPr>
                <w:rFonts w:cs="Arial"/>
                <w:sz w:val="16"/>
                <w:szCs w:val="16"/>
              </w:rPr>
              <w:t xml:space="preserve"> toda la documentación responsable el líder </w:t>
            </w:r>
            <w:r>
              <w:rPr>
                <w:rFonts w:cs="Arial"/>
                <w:sz w:val="16"/>
                <w:szCs w:val="16"/>
              </w:rPr>
              <w:t>de</w:t>
            </w:r>
            <w:r w:rsidR="009D021F">
              <w:rPr>
                <w:rFonts w:cs="Arial"/>
                <w:sz w:val="16"/>
                <w:szCs w:val="16"/>
              </w:rPr>
              <w:t xml:space="preserve"> proceso la</w:t>
            </w:r>
            <w:r w:rsidRPr="006176D2">
              <w:rPr>
                <w:rFonts w:cs="Arial"/>
                <w:sz w:val="16"/>
                <w:szCs w:val="16"/>
              </w:rPr>
              <w:t xml:space="preserve"> seccional</w:t>
            </w:r>
            <w:r w:rsidR="00EA57C7" w:rsidRPr="006176D2">
              <w:rPr>
                <w:rFonts w:cs="Arial"/>
                <w:sz w:val="16"/>
                <w:szCs w:val="16"/>
              </w:rPr>
              <w:t>(Octubre 17 del 2017)</w:t>
            </w:r>
          </w:p>
          <w:p w:rsidR="00EA57C7" w:rsidRPr="006176D2" w:rsidRDefault="00EA57C7" w:rsidP="000530F9">
            <w:pPr>
              <w:pStyle w:val="Prrafodelista"/>
              <w:numPr>
                <w:ilvl w:val="0"/>
                <w:numId w:val="55"/>
              </w:numPr>
              <w:jc w:val="both"/>
              <w:rPr>
                <w:rFonts w:cs="Arial"/>
                <w:sz w:val="16"/>
                <w:szCs w:val="16"/>
              </w:rPr>
            </w:pPr>
            <w:r w:rsidRPr="006176D2">
              <w:rPr>
                <w:rFonts w:cs="Arial"/>
                <w:sz w:val="16"/>
                <w:szCs w:val="16"/>
              </w:rPr>
              <w:lastRenderedPageBreak/>
              <w:t xml:space="preserve"> Evaluar la eficacia de la acción tomada (</w:t>
            </w:r>
            <w:r w:rsidR="00864084" w:rsidRPr="006176D2">
              <w:rPr>
                <w:rFonts w:cs="Arial"/>
                <w:sz w:val="16"/>
                <w:szCs w:val="16"/>
              </w:rPr>
              <w:t>noviembre 24</w:t>
            </w:r>
            <w:r w:rsidRPr="006176D2">
              <w:rPr>
                <w:rFonts w:cs="Arial"/>
                <w:sz w:val="16"/>
                <w:szCs w:val="16"/>
              </w:rPr>
              <w:t xml:space="preserve"> </w:t>
            </w:r>
            <w:r w:rsidR="00864084" w:rsidRPr="006176D2">
              <w:rPr>
                <w:rFonts w:cs="Arial"/>
                <w:sz w:val="16"/>
                <w:szCs w:val="16"/>
              </w:rPr>
              <w:t>de 2017</w:t>
            </w:r>
            <w:r w:rsidRPr="006176D2">
              <w:rPr>
                <w:rFonts w:cs="Arial"/>
                <w:sz w:val="16"/>
                <w:szCs w:val="16"/>
              </w:rPr>
              <w:t>).</w:t>
            </w:r>
          </w:p>
          <w:p w:rsidR="00EA57C7" w:rsidRDefault="00EA57C7" w:rsidP="000530F9">
            <w:pPr>
              <w:pStyle w:val="Prrafodelista"/>
              <w:numPr>
                <w:ilvl w:val="0"/>
                <w:numId w:val="54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  <w:p w:rsidR="00EA57C7" w:rsidRPr="00EA57C7" w:rsidRDefault="00EA57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8586D" w:rsidRPr="0088586D" w:rsidRDefault="0088586D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88586D">
              <w:rPr>
                <w:rFonts w:cs="Arial"/>
                <w:sz w:val="16"/>
                <w:szCs w:val="16"/>
              </w:rPr>
              <w:t>Como entrada de la revisión por la Dirección no se considera el análisis de tendencias relativo al desempeño de los procesos, los resultados de seguimiento y medición. CSJ.</w:t>
            </w:r>
          </w:p>
          <w:p w:rsidR="0088586D" w:rsidRPr="0088586D" w:rsidRDefault="0088586D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8586D" w:rsidRPr="0088586D" w:rsidRDefault="0088586D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88586D" w:rsidRPr="0088586D" w:rsidRDefault="0088586D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C09AC" w:rsidRPr="002337C4" w:rsidRDefault="0088586D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88586D">
              <w:rPr>
                <w:rFonts w:cs="Arial"/>
                <w:sz w:val="16"/>
                <w:szCs w:val="16"/>
              </w:rPr>
              <w:t xml:space="preserve">Acta Revisión por la Dirección del año 2016.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9E70C5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9E70C5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9.3.2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9AC" w:rsidRDefault="009E70C5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Realizar el análisis </w:t>
            </w:r>
            <w:r w:rsidRPr="0088586D">
              <w:rPr>
                <w:rFonts w:cs="Arial"/>
                <w:sz w:val="16"/>
                <w:szCs w:val="16"/>
              </w:rPr>
              <w:t>de tendencias relativo al desempeño de los procesos</w:t>
            </w:r>
            <w:r>
              <w:rPr>
                <w:rFonts w:cs="Arial"/>
                <w:sz w:val="16"/>
                <w:szCs w:val="16"/>
              </w:rPr>
              <w:t xml:space="preserve"> en el informe de la </w:t>
            </w:r>
            <w:r w:rsidRPr="0088586D">
              <w:rPr>
                <w:rFonts w:cs="Arial"/>
                <w:sz w:val="16"/>
                <w:szCs w:val="16"/>
              </w:rPr>
              <w:t>revisión por la Dirección</w:t>
            </w:r>
            <w:r w:rsidR="009D021F">
              <w:rPr>
                <w:rFonts w:cs="Arial"/>
                <w:sz w:val="16"/>
                <w:szCs w:val="16"/>
              </w:rPr>
              <w:t xml:space="preserve"> del año 2016</w:t>
            </w:r>
            <w:r w:rsidR="007212B3">
              <w:rPr>
                <w:rFonts w:cs="Arial"/>
                <w:sz w:val="16"/>
                <w:szCs w:val="16"/>
              </w:rPr>
              <w:t>.</w:t>
            </w:r>
            <w:r w:rsidR="009D021F">
              <w:rPr>
                <w:rFonts w:cs="Arial"/>
                <w:sz w:val="16"/>
                <w:szCs w:val="16"/>
              </w:rPr>
              <w:t xml:space="preserve"> (</w:t>
            </w:r>
            <w:r w:rsidR="004D500F">
              <w:rPr>
                <w:rFonts w:cs="Arial"/>
                <w:sz w:val="16"/>
                <w:szCs w:val="16"/>
              </w:rPr>
              <w:t>Noviembre</w:t>
            </w:r>
            <w:r w:rsidR="009D021F">
              <w:rPr>
                <w:rFonts w:cs="Arial"/>
                <w:sz w:val="16"/>
                <w:szCs w:val="16"/>
              </w:rPr>
              <w:t xml:space="preserve"> 30 del 2017).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9AC" w:rsidRDefault="009E70C5" w:rsidP="000530F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Desconocimiento de la realización del análisis de desempeño de los procesos en el informe de revisión por la Dirección.</w:t>
            </w:r>
          </w:p>
          <w:p w:rsidR="00B04983" w:rsidRDefault="00A926E6" w:rsidP="000530F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estandarización del informe de revisión de la alta dirección a nivel nacional.</w:t>
            </w:r>
          </w:p>
          <w:p w:rsidR="009E70C5" w:rsidRPr="00B04983" w:rsidRDefault="009E70C5" w:rsidP="00F52E6E">
            <w:pPr>
              <w:jc w:val="both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C09AC" w:rsidRDefault="00F264A2" w:rsidP="000530F9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 w:rsidRPr="00F264A2">
              <w:rPr>
                <w:rFonts w:cs="Arial"/>
                <w:sz w:val="16"/>
                <w:szCs w:val="16"/>
              </w:rPr>
              <w:t xml:space="preserve">Diseño del </w:t>
            </w:r>
            <w:r w:rsidR="00BD4455" w:rsidRPr="00F264A2">
              <w:rPr>
                <w:rFonts w:cs="Arial"/>
                <w:sz w:val="16"/>
                <w:szCs w:val="16"/>
              </w:rPr>
              <w:t>formato de informe de revisión para la alta dirección con la estructura de las entradas y salidas de la revisión por la dirección estandariz</w:t>
            </w:r>
            <w:r w:rsidRPr="00F264A2">
              <w:rPr>
                <w:rFonts w:cs="Arial"/>
                <w:sz w:val="16"/>
                <w:szCs w:val="16"/>
              </w:rPr>
              <w:t>ada a nivel nacional (Noviembre 17</w:t>
            </w:r>
            <w:r w:rsidR="00BD4455" w:rsidRPr="00F264A2">
              <w:rPr>
                <w:rFonts w:cs="Arial"/>
                <w:sz w:val="16"/>
                <w:szCs w:val="16"/>
              </w:rPr>
              <w:t xml:space="preserve"> del 2017)</w:t>
            </w:r>
            <w:r w:rsidRPr="00F264A2">
              <w:rPr>
                <w:rFonts w:cs="Arial"/>
                <w:sz w:val="16"/>
                <w:szCs w:val="16"/>
              </w:rPr>
              <w:t>.</w:t>
            </w:r>
          </w:p>
          <w:p w:rsidR="00B12762" w:rsidRPr="00F264A2" w:rsidRDefault="00B12762" w:rsidP="000530F9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Realización del V Conversatorio Nacional SIGCMA donde se dará énfasis en la estructura </w:t>
            </w:r>
            <w:r w:rsidRPr="00F264A2">
              <w:rPr>
                <w:rFonts w:cs="Arial"/>
                <w:sz w:val="16"/>
                <w:szCs w:val="16"/>
              </w:rPr>
              <w:t xml:space="preserve"> de las entradas y salidas de la revisión por la dirección </w:t>
            </w:r>
            <w:r w:rsidR="00FD0E61">
              <w:rPr>
                <w:rFonts w:cs="Arial"/>
                <w:sz w:val="16"/>
                <w:szCs w:val="16"/>
              </w:rPr>
              <w:t xml:space="preserve">y </w:t>
            </w:r>
            <w:r>
              <w:rPr>
                <w:rFonts w:cs="Arial"/>
                <w:sz w:val="16"/>
                <w:szCs w:val="16"/>
              </w:rPr>
              <w:t xml:space="preserve">del </w:t>
            </w:r>
            <w:r w:rsidRPr="00F264A2">
              <w:rPr>
                <w:rFonts w:cs="Arial"/>
                <w:sz w:val="16"/>
                <w:szCs w:val="16"/>
              </w:rPr>
              <w:t>informe de revisión para la alta dirección</w:t>
            </w:r>
            <w:r>
              <w:rPr>
                <w:rFonts w:cs="Arial"/>
                <w:sz w:val="16"/>
                <w:szCs w:val="16"/>
              </w:rPr>
              <w:t xml:space="preserve">, tanto administrativo como judicial y presentación del formato </w:t>
            </w:r>
            <w:r w:rsidRPr="00F264A2">
              <w:rPr>
                <w:rFonts w:cs="Arial"/>
                <w:sz w:val="16"/>
                <w:szCs w:val="16"/>
              </w:rPr>
              <w:t xml:space="preserve"> informe de revisión para la alta dirección</w:t>
            </w:r>
            <w:r w:rsidR="000071FC">
              <w:rPr>
                <w:rFonts w:cs="Arial"/>
                <w:sz w:val="16"/>
                <w:szCs w:val="16"/>
              </w:rPr>
              <w:t xml:space="preserve"> nacional</w:t>
            </w:r>
            <w:r w:rsidRPr="00F264A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(Noviembre 20 y 21 del 2017)</w:t>
            </w:r>
          </w:p>
          <w:p w:rsidR="00F264A2" w:rsidRPr="00F264A2" w:rsidRDefault="00F264A2" w:rsidP="000530F9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Aprobación 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>
              <w:rPr>
                <w:rFonts w:cs="Arial"/>
                <w:sz w:val="16"/>
                <w:szCs w:val="16"/>
              </w:rPr>
              <w:t xml:space="preserve"> por parte del Comité de </w:t>
            </w:r>
            <w:r w:rsidR="006819CE">
              <w:rPr>
                <w:rFonts w:cs="Arial"/>
                <w:sz w:val="16"/>
                <w:szCs w:val="16"/>
              </w:rPr>
              <w:t>Calidad (</w:t>
            </w:r>
            <w:r w:rsidR="006F2B10" w:rsidRPr="006F2B10">
              <w:rPr>
                <w:rFonts w:cs="Arial"/>
                <w:color w:val="000000" w:themeColor="text1"/>
                <w:sz w:val="16"/>
                <w:szCs w:val="16"/>
              </w:rPr>
              <w:t>enero 31</w:t>
            </w:r>
            <w:r w:rsidR="006F2B10">
              <w:rPr>
                <w:rFonts w:cs="Arial"/>
                <w:color w:val="000000" w:themeColor="text1"/>
                <w:sz w:val="16"/>
                <w:szCs w:val="16"/>
              </w:rPr>
              <w:t xml:space="preserve"> del 2018</w:t>
            </w:r>
            <w:r w:rsidRPr="006F2B10">
              <w:rPr>
                <w:rFonts w:cs="Arial"/>
                <w:color w:val="000000" w:themeColor="text1"/>
                <w:sz w:val="16"/>
                <w:szCs w:val="16"/>
              </w:rPr>
              <w:t>).</w:t>
            </w:r>
          </w:p>
          <w:p w:rsidR="00F264A2" w:rsidRPr="00A926E6" w:rsidRDefault="00F264A2" w:rsidP="000530F9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264A2">
              <w:rPr>
                <w:rFonts w:cs="Arial"/>
                <w:color w:val="000000" w:themeColor="text1"/>
                <w:sz w:val="16"/>
                <w:szCs w:val="16"/>
              </w:rPr>
              <w:t xml:space="preserve">Divulgación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a nivel nacional</w:t>
            </w:r>
            <w:r w:rsidR="00A926E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926E6" w:rsidRPr="00F264A2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A926E6" w:rsidRPr="006F2B10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6F2B10" w:rsidRPr="006F2B10">
              <w:rPr>
                <w:rFonts w:cs="Arial"/>
                <w:color w:val="000000" w:themeColor="text1"/>
                <w:sz w:val="16"/>
                <w:szCs w:val="16"/>
              </w:rPr>
              <w:t>febrero 9</w:t>
            </w:r>
            <w:r w:rsidR="006F2B10">
              <w:rPr>
                <w:rFonts w:cs="Arial"/>
                <w:color w:val="000000" w:themeColor="text1"/>
                <w:sz w:val="16"/>
                <w:szCs w:val="16"/>
              </w:rPr>
              <w:t xml:space="preserve"> del 2018</w:t>
            </w:r>
            <w:r w:rsidR="00A926E6" w:rsidRPr="006F2B10">
              <w:rPr>
                <w:rFonts w:cs="Arial"/>
                <w:color w:val="000000" w:themeColor="text1"/>
                <w:sz w:val="16"/>
                <w:szCs w:val="16"/>
              </w:rPr>
              <w:t>).</w:t>
            </w:r>
          </w:p>
          <w:p w:rsidR="00A926E6" w:rsidRPr="002E5116" w:rsidRDefault="00A926E6" w:rsidP="000530F9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4040A">
              <w:rPr>
                <w:rFonts w:cs="Arial"/>
                <w:sz w:val="16"/>
                <w:szCs w:val="16"/>
              </w:rPr>
              <w:t>Evaluar l</w:t>
            </w:r>
            <w:r>
              <w:rPr>
                <w:rFonts w:cs="Arial"/>
                <w:sz w:val="16"/>
                <w:szCs w:val="16"/>
              </w:rPr>
              <w:t xml:space="preserve">a eficacia de la </w:t>
            </w:r>
            <w:r w:rsidR="006F2B10">
              <w:rPr>
                <w:rFonts w:cs="Arial"/>
                <w:sz w:val="16"/>
                <w:szCs w:val="16"/>
              </w:rPr>
              <w:t>acción tomada</w:t>
            </w:r>
            <w:r w:rsidR="00FD6F9A">
              <w:rPr>
                <w:rFonts w:cs="Arial"/>
                <w:sz w:val="16"/>
                <w:szCs w:val="16"/>
              </w:rPr>
              <w:t xml:space="preserve"> en la próxima revisión por la </w:t>
            </w:r>
            <w:r w:rsidR="003B4117">
              <w:rPr>
                <w:rFonts w:cs="Arial"/>
                <w:sz w:val="16"/>
                <w:szCs w:val="16"/>
              </w:rPr>
              <w:t>dirección (</w:t>
            </w:r>
            <w:r w:rsidR="006F2B10">
              <w:rPr>
                <w:rFonts w:cs="Arial"/>
                <w:sz w:val="16"/>
                <w:szCs w:val="16"/>
              </w:rPr>
              <w:t>febrero 22</w:t>
            </w:r>
            <w:r w:rsidRPr="00F4040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 2018)</w:t>
            </w:r>
            <w:r w:rsidR="00FD6F9A">
              <w:rPr>
                <w:rFonts w:cs="Arial"/>
                <w:sz w:val="16"/>
                <w:szCs w:val="16"/>
              </w:rPr>
              <w:t>.</w:t>
            </w:r>
          </w:p>
          <w:p w:rsidR="00F264A2" w:rsidRPr="002E5116" w:rsidRDefault="00F264A2" w:rsidP="00F52E6E">
            <w:pPr>
              <w:ind w:left="-360"/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BD4455" w:rsidRDefault="00BD4455" w:rsidP="000530F9">
            <w:pPr>
              <w:pStyle w:val="Prrafodelista"/>
              <w:numPr>
                <w:ilvl w:val="0"/>
                <w:numId w:val="20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5E3CE8" w:rsidRDefault="005E3CE8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5E3CE8">
              <w:rPr>
                <w:rFonts w:cs="Arial"/>
                <w:sz w:val="16"/>
                <w:szCs w:val="16"/>
              </w:rPr>
              <w:t>No se da cumplimiento a las condiciones de oportunidad establecidas para la comunicación con los clientes.- GESTIÓN DOCUMENTAL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E3CE8" w:rsidRPr="005E3CE8" w:rsidRDefault="005E3CE8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5E3CE8" w:rsidRPr="0088586D" w:rsidRDefault="005E3CE8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5E3CE8" w:rsidRPr="005E3CE8" w:rsidRDefault="005E3CE8" w:rsidP="00F52E6E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5E3CE8">
              <w:rPr>
                <w:rFonts w:cs="Arial"/>
                <w:bCs/>
                <w:sz w:val="16"/>
                <w:szCs w:val="16"/>
              </w:rPr>
              <w:t xml:space="preserve">En el Sistema Sigobius  se evidenciaron comunicaciones en el estado pendiente vencidas ( sin respuesta), con períodos mayores a  40 días , eje.: Escuela Rodrigo Lara B. 110,  Administración  de la  Carrera Judicial 1086, Asistencia Legal  15,Vigilancia Judicial  Seccional   </w:t>
            </w:r>
            <w:r w:rsidRPr="005E3CE8">
              <w:rPr>
                <w:rFonts w:cs="Arial"/>
                <w:bCs/>
                <w:sz w:val="16"/>
                <w:szCs w:val="16"/>
              </w:rPr>
              <w:lastRenderedPageBreak/>
              <w:t>Bogotá 3</w:t>
            </w:r>
            <w:r w:rsidRPr="005E3CE8">
              <w:rPr>
                <w:sz w:val="16"/>
                <w:szCs w:val="16"/>
              </w:rPr>
              <w:t xml:space="preserve"> , </w:t>
            </w:r>
            <w:r w:rsidRPr="005E3CE8">
              <w:rPr>
                <w:rFonts w:cs="Arial"/>
                <w:bCs/>
                <w:sz w:val="16"/>
                <w:szCs w:val="16"/>
              </w:rPr>
              <w:t>incumplimiento las  directrices de Obligatoriedad establecidas el  Manual de Procedimiento de este sistema.</w:t>
            </w:r>
          </w:p>
          <w:p w:rsidR="005E3CE8" w:rsidRPr="005E3CE8" w:rsidRDefault="005E3CE8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C09AC" w:rsidRPr="002337C4" w:rsidRDefault="006C09AC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5E3CE8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6C09AC" w:rsidRDefault="005E3CE8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y 7.2.3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9AC" w:rsidRDefault="00B568DE" w:rsidP="00F52E6E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Dar respuesta </w:t>
            </w:r>
            <w:r w:rsidRPr="00FD6F9A">
              <w:rPr>
                <w:rFonts w:cs="Arial"/>
                <w:color w:val="000000" w:themeColor="text1"/>
                <w:sz w:val="16"/>
                <w:szCs w:val="16"/>
              </w:rPr>
              <w:t xml:space="preserve">lo más pronto </w:t>
            </w:r>
            <w:r>
              <w:rPr>
                <w:rFonts w:cs="Arial"/>
                <w:sz w:val="16"/>
                <w:szCs w:val="16"/>
              </w:rPr>
              <w:t xml:space="preserve">posible de las comunicaciones de la </w:t>
            </w:r>
            <w:r w:rsidRPr="005E3CE8">
              <w:rPr>
                <w:rFonts w:cs="Arial"/>
                <w:bCs/>
                <w:sz w:val="16"/>
                <w:szCs w:val="16"/>
              </w:rPr>
              <w:t>Escuela Rodrigo Lara B. 110,  Administración  de la  Carrera Judicial 1086, Asistencia Legal  15,Vigilancia Judicial  Seccional   Bogotá 3</w:t>
            </w:r>
            <w:r>
              <w:rPr>
                <w:sz w:val="16"/>
                <w:szCs w:val="16"/>
              </w:rPr>
              <w:t>.</w:t>
            </w:r>
          </w:p>
          <w:p w:rsidR="00A21E08" w:rsidRDefault="00FD6F9A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D6F9A">
              <w:rPr>
                <w:color w:val="000000" w:themeColor="text1"/>
                <w:sz w:val="16"/>
                <w:szCs w:val="16"/>
              </w:rPr>
              <w:t>(diciembre 29 de 2017)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68DE" w:rsidRPr="00AA106C" w:rsidRDefault="00B568DE" w:rsidP="000530F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Por la alta volumen de trabaj</w:t>
            </w:r>
            <w:r>
              <w:rPr>
                <w:rFonts w:cs="Arial"/>
                <w:sz w:val="16"/>
                <w:szCs w:val="16"/>
              </w:rPr>
              <w:t>o no se da respuesta oportuna a las comunicaciones</w:t>
            </w:r>
            <w:r w:rsidRPr="00AA106C">
              <w:rPr>
                <w:rFonts w:cs="Arial"/>
                <w:sz w:val="16"/>
                <w:szCs w:val="16"/>
              </w:rPr>
              <w:t xml:space="preserve"> </w:t>
            </w:r>
          </w:p>
          <w:p w:rsidR="00B568DE" w:rsidRPr="004E0853" w:rsidRDefault="00B568DE" w:rsidP="000530F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4E0853">
              <w:rPr>
                <w:rFonts w:cs="Arial"/>
                <w:color w:val="000000" w:themeColor="text1"/>
                <w:sz w:val="16"/>
                <w:szCs w:val="16"/>
              </w:rPr>
              <w:t>Falta de información para dar respuesta.</w:t>
            </w:r>
          </w:p>
          <w:p w:rsidR="006C09AC" w:rsidRDefault="00B568DE" w:rsidP="000530F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 w:val="16"/>
                <w:szCs w:val="16"/>
              </w:rPr>
            </w:pPr>
            <w:r w:rsidRPr="00B568DE">
              <w:rPr>
                <w:rFonts w:cs="Arial"/>
                <w:sz w:val="16"/>
                <w:szCs w:val="16"/>
              </w:rPr>
              <w:t>Falta de seguimiento a al vencimiento de respuesta oportunas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B568DE" w:rsidRPr="00B568DE" w:rsidRDefault="00B568DE" w:rsidP="000530F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Desconocimiento de </w:t>
            </w:r>
            <w:r w:rsidR="001E7F27">
              <w:rPr>
                <w:rFonts w:cs="Arial"/>
                <w:sz w:val="16"/>
                <w:szCs w:val="16"/>
              </w:rPr>
              <w:t>la gestión</w:t>
            </w:r>
            <w:r>
              <w:rPr>
                <w:rFonts w:cs="Arial"/>
                <w:sz w:val="16"/>
                <w:szCs w:val="16"/>
              </w:rPr>
              <w:t xml:space="preserve"> de la correspondencia.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53F20" w:rsidRPr="00F264A2" w:rsidRDefault="00753F20" w:rsidP="00753F20">
            <w:pPr>
              <w:pStyle w:val="Prrafodelista"/>
              <w:numPr>
                <w:ilvl w:val="0"/>
                <w:numId w:val="5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del V Conversatorio Nacional SIGCMA donde se dará énfasis en la comunicación interna y externa a nivel nacional tanto administrativo como judicial (noviembre 20 y 21 del 2017)</w:t>
            </w:r>
          </w:p>
          <w:p w:rsidR="00753F20" w:rsidRPr="00D57418" w:rsidRDefault="00753F20" w:rsidP="00753F20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C65F8C" w:rsidRPr="00C65F8C" w:rsidRDefault="00C65F8C" w:rsidP="00753F20">
            <w:pPr>
              <w:pStyle w:val="Prrafodelista"/>
              <w:numPr>
                <w:ilvl w:val="0"/>
                <w:numId w:val="58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Reiterar el </w:t>
            </w:r>
            <w:r w:rsidR="00D90AD8">
              <w:rPr>
                <w:rFonts w:cs="Arial"/>
                <w:sz w:val="16"/>
                <w:szCs w:val="16"/>
              </w:rPr>
              <w:t>memorando CDJMEM14</w:t>
            </w:r>
            <w:r w:rsidRPr="00322C9D">
              <w:rPr>
                <w:rFonts w:cs="Arial"/>
                <w:sz w:val="16"/>
                <w:szCs w:val="16"/>
              </w:rPr>
              <w:t>-33</w:t>
            </w:r>
            <w:r>
              <w:rPr>
                <w:rFonts w:cs="Arial"/>
                <w:sz w:val="16"/>
                <w:szCs w:val="16"/>
              </w:rPr>
              <w:t xml:space="preserve"> que hace referencia a la terminación de gestión de la correspondencia</w:t>
            </w:r>
            <w:r w:rsidR="00B568DE" w:rsidRPr="00322C9D">
              <w:rPr>
                <w:rFonts w:cs="Arial"/>
                <w:sz w:val="16"/>
                <w:szCs w:val="16"/>
              </w:rPr>
              <w:t xml:space="preserve"> por</w:t>
            </w:r>
            <w:r>
              <w:rPr>
                <w:rFonts w:cs="Arial"/>
                <w:sz w:val="16"/>
                <w:szCs w:val="16"/>
              </w:rPr>
              <w:t xml:space="preserve"> parte de los usuarios del sistema sigobius, disposiciones establecidas en </w:t>
            </w:r>
            <w:r w:rsidR="00B17B55" w:rsidRPr="00322C9D">
              <w:rPr>
                <w:rFonts w:cs="Arial"/>
                <w:sz w:val="16"/>
                <w:szCs w:val="16"/>
              </w:rPr>
              <w:t xml:space="preserve">los acuerdos PSAA11-8707 </w:t>
            </w:r>
            <w:r>
              <w:rPr>
                <w:rFonts w:cs="Arial"/>
                <w:sz w:val="16"/>
                <w:szCs w:val="16"/>
              </w:rPr>
              <w:t xml:space="preserve">del </w:t>
            </w:r>
            <w:r>
              <w:rPr>
                <w:rFonts w:cs="Arial"/>
                <w:sz w:val="16"/>
                <w:szCs w:val="16"/>
              </w:rPr>
              <w:lastRenderedPageBreak/>
              <w:t>2011(</w:t>
            </w:r>
            <w:r w:rsidRPr="00322C9D">
              <w:rPr>
                <w:rFonts w:cs="Arial"/>
                <w:sz w:val="16"/>
                <w:szCs w:val="16"/>
              </w:rPr>
              <w:t>manual del usuario SIGOBius</w:t>
            </w:r>
            <w:r>
              <w:rPr>
                <w:rFonts w:cs="Arial"/>
                <w:sz w:val="16"/>
                <w:szCs w:val="16"/>
              </w:rPr>
              <w:t xml:space="preserve">) y </w:t>
            </w:r>
            <w:r w:rsidR="00B17B55" w:rsidRPr="00322C9D">
              <w:rPr>
                <w:rFonts w:cs="Arial"/>
                <w:sz w:val="16"/>
                <w:szCs w:val="16"/>
              </w:rPr>
              <w:t>PCSJA17-</w:t>
            </w:r>
            <w:r>
              <w:rPr>
                <w:rFonts w:cs="Arial"/>
                <w:sz w:val="16"/>
                <w:szCs w:val="16"/>
              </w:rPr>
              <w:t>10784 del 2017.</w:t>
            </w:r>
          </w:p>
          <w:p w:rsidR="00322C9D" w:rsidRPr="00322C9D" w:rsidRDefault="004D500F" w:rsidP="004D500F">
            <w:pPr>
              <w:pStyle w:val="Prrafodelista"/>
              <w:ind w:left="81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</w:t>
            </w:r>
            <w:r w:rsidR="00606D50">
              <w:rPr>
                <w:rFonts w:cs="Arial"/>
                <w:sz w:val="16"/>
                <w:szCs w:val="16"/>
              </w:rPr>
              <w:t>(</w:t>
            </w:r>
            <w:r w:rsidR="00753F20">
              <w:rPr>
                <w:rFonts w:cs="Arial"/>
                <w:sz w:val="16"/>
                <w:szCs w:val="16"/>
              </w:rPr>
              <w:t xml:space="preserve">Noviembre 30 </w:t>
            </w:r>
            <w:r w:rsidR="00606D50">
              <w:rPr>
                <w:rFonts w:cs="Arial"/>
                <w:sz w:val="16"/>
                <w:szCs w:val="16"/>
              </w:rPr>
              <w:t>del 2017)</w:t>
            </w:r>
            <w:r w:rsidR="00AA14EA">
              <w:rPr>
                <w:rFonts w:cs="Arial"/>
                <w:sz w:val="16"/>
                <w:szCs w:val="16"/>
              </w:rPr>
              <w:t>.</w:t>
            </w:r>
          </w:p>
          <w:p w:rsidR="00322C9D" w:rsidRPr="004D500F" w:rsidRDefault="002606DD" w:rsidP="00753F20">
            <w:pPr>
              <w:pStyle w:val="Prrafodelista"/>
              <w:numPr>
                <w:ilvl w:val="0"/>
                <w:numId w:val="58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Envió de comunicación trimestralmente </w:t>
            </w:r>
            <w:r w:rsidR="00AA14EA">
              <w:rPr>
                <w:rFonts w:cs="Arial"/>
                <w:sz w:val="16"/>
                <w:szCs w:val="16"/>
              </w:rPr>
              <w:t>de las correspondencias pendientes de gestión de los usuarios de sigobuis a nivel nacional</w:t>
            </w:r>
            <w:r w:rsidR="004D500F" w:rsidRPr="00D57418">
              <w:rPr>
                <w:rFonts w:cs="Arial"/>
                <w:sz w:val="16"/>
                <w:szCs w:val="16"/>
              </w:rPr>
              <w:t>.</w:t>
            </w:r>
            <w:r w:rsidR="004D500F">
              <w:rPr>
                <w:rFonts w:cs="Arial"/>
                <w:sz w:val="16"/>
                <w:szCs w:val="16"/>
              </w:rPr>
              <w:t xml:space="preserve"> (</w:t>
            </w:r>
            <w:r w:rsidR="00753F20">
              <w:rPr>
                <w:rFonts w:cs="Arial"/>
                <w:sz w:val="16"/>
                <w:szCs w:val="16"/>
              </w:rPr>
              <w:t>Octubre 3</w:t>
            </w:r>
            <w:r w:rsidR="00D90AD8">
              <w:rPr>
                <w:rFonts w:cs="Arial"/>
                <w:sz w:val="16"/>
                <w:szCs w:val="16"/>
              </w:rPr>
              <w:t xml:space="preserve"> del 2018</w:t>
            </w:r>
            <w:r w:rsidR="004F3516">
              <w:rPr>
                <w:rFonts w:cs="Arial"/>
                <w:sz w:val="16"/>
                <w:szCs w:val="16"/>
              </w:rPr>
              <w:t>)</w:t>
            </w:r>
            <w:r w:rsidR="004D500F">
              <w:rPr>
                <w:rFonts w:cs="Arial"/>
                <w:sz w:val="16"/>
                <w:szCs w:val="16"/>
              </w:rPr>
              <w:t>.</w:t>
            </w:r>
          </w:p>
          <w:p w:rsidR="00322C9D" w:rsidRPr="00322C9D" w:rsidRDefault="00322C9D" w:rsidP="00753F20">
            <w:pPr>
              <w:pStyle w:val="Prrafodelista"/>
              <w:numPr>
                <w:ilvl w:val="0"/>
                <w:numId w:val="58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322C9D">
              <w:rPr>
                <w:rFonts w:cs="Arial"/>
                <w:sz w:val="16"/>
                <w:szCs w:val="16"/>
              </w:rPr>
              <w:t>Evaluar la efi</w:t>
            </w:r>
            <w:r w:rsidR="004F3516">
              <w:rPr>
                <w:rFonts w:cs="Arial"/>
                <w:sz w:val="16"/>
                <w:szCs w:val="16"/>
              </w:rPr>
              <w:t>cac</w:t>
            </w:r>
            <w:r w:rsidR="00753F20">
              <w:rPr>
                <w:rFonts w:cs="Arial"/>
                <w:sz w:val="16"/>
                <w:szCs w:val="16"/>
              </w:rPr>
              <w:t>ia de la acción tomada(Octubre 18</w:t>
            </w:r>
            <w:r w:rsidRPr="00322C9D">
              <w:rPr>
                <w:rFonts w:cs="Arial"/>
                <w:sz w:val="16"/>
                <w:szCs w:val="16"/>
              </w:rPr>
              <w:t xml:space="preserve"> de 201</w:t>
            </w:r>
            <w:r w:rsidR="000F1ACE">
              <w:rPr>
                <w:rFonts w:cs="Arial"/>
                <w:sz w:val="16"/>
                <w:szCs w:val="16"/>
              </w:rPr>
              <w:t>8</w:t>
            </w:r>
            <w:r w:rsidRPr="00322C9D">
              <w:rPr>
                <w:rFonts w:cs="Arial"/>
                <w:sz w:val="16"/>
                <w:szCs w:val="16"/>
              </w:rPr>
              <w:t>)</w:t>
            </w:r>
          </w:p>
          <w:p w:rsidR="00322C9D" w:rsidRPr="00F264A2" w:rsidRDefault="00322C9D" w:rsidP="00F52E6E">
            <w:pPr>
              <w:ind w:left="-639"/>
              <w:jc w:val="both"/>
              <w:rPr>
                <w:rFonts w:cs="Arial"/>
                <w:sz w:val="16"/>
                <w:szCs w:val="16"/>
              </w:rPr>
            </w:pPr>
          </w:p>
          <w:p w:rsidR="00B17B55" w:rsidRPr="004D500F" w:rsidRDefault="00B17B55" w:rsidP="004D500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1E6F51">
              <w:rPr>
                <w:rFonts w:cs="Arial"/>
                <w:sz w:val="16"/>
                <w:szCs w:val="16"/>
              </w:rPr>
              <w:t>No se aplican las condiciones estipuladas para garantizar que la información documentada requerida por el sistema de gestión de la calidad y sus procesos se controle.</w:t>
            </w:r>
          </w:p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E6F51" w:rsidRPr="0088586D" w:rsidRDefault="001E6F51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1E6F51" w:rsidRPr="008062D7" w:rsidRDefault="001E6F51" w:rsidP="00F52E6E">
            <w:pPr>
              <w:jc w:val="both"/>
              <w:rPr>
                <w:rFonts w:cs="Arial"/>
                <w:bCs/>
                <w:color w:val="FF0000"/>
                <w:sz w:val="16"/>
                <w:szCs w:val="16"/>
              </w:rPr>
            </w:pPr>
            <w:r w:rsidRPr="001E6F51">
              <w:rPr>
                <w:rFonts w:cs="Arial"/>
                <w:bCs/>
                <w:sz w:val="16"/>
                <w:szCs w:val="16"/>
              </w:rPr>
              <w:t xml:space="preserve">No se evidencio la aplicación de las TRD en los procesos del sistema según lo dispuesto en el Acuerdo </w:t>
            </w:r>
            <w:r w:rsidRPr="00403476">
              <w:rPr>
                <w:rFonts w:cs="Arial"/>
                <w:bCs/>
                <w:color w:val="000000" w:themeColor="text1"/>
                <w:sz w:val="16"/>
                <w:szCs w:val="16"/>
              </w:rPr>
              <w:t>P</w:t>
            </w:r>
            <w:r w:rsidR="00403476" w:rsidRPr="00403476">
              <w:rPr>
                <w:rFonts w:cs="Arial"/>
                <w:bCs/>
                <w:color w:val="000000" w:themeColor="text1"/>
                <w:sz w:val="16"/>
                <w:szCs w:val="16"/>
              </w:rPr>
              <w:t>SAA14-10137</w:t>
            </w:r>
          </w:p>
          <w:p w:rsidR="001E6F51" w:rsidRP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8062D7">
              <w:rPr>
                <w:rFonts w:cs="Arial"/>
                <w:bCs/>
                <w:color w:val="FF0000"/>
                <w:sz w:val="16"/>
                <w:szCs w:val="16"/>
              </w:rPr>
              <w:br/>
            </w:r>
            <w:r w:rsidRPr="001E6F51">
              <w:rPr>
                <w:rFonts w:cs="Arial"/>
                <w:bCs/>
                <w:sz w:val="16"/>
                <w:szCs w:val="16"/>
              </w:rPr>
              <w:t>No se cuenta con la infraestructura para el manejo de archivos centrales,     base para poder hacer transferencias documentales.</w:t>
            </w:r>
          </w:p>
          <w:p w:rsidR="001E6F51" w:rsidRP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4.2.4 y 7.5.3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6152" w:rsidRDefault="00126152" w:rsidP="00F52E6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  <w:p w:rsidR="00126152" w:rsidRPr="000044F6" w:rsidRDefault="00126152" w:rsidP="00F52E6E">
            <w:pPr>
              <w:jc w:val="both"/>
              <w:rPr>
                <w:rFonts w:cs="Arial"/>
                <w:color w:val="000000"/>
                <w:sz w:val="14"/>
                <w:szCs w:val="16"/>
                <w:shd w:val="clear" w:color="auto" w:fill="EEEEEE"/>
              </w:rPr>
            </w:pPr>
            <w:r w:rsidRPr="006107E5">
              <w:rPr>
                <w:rFonts w:cs="Arial"/>
                <w:color w:val="000000"/>
                <w:sz w:val="16"/>
                <w:szCs w:val="16"/>
                <w:shd w:val="clear" w:color="auto" w:fill="EEEEEE"/>
              </w:rPr>
              <w:t>Actualizar, unificar y estandarizar las tablas de retención documental a nivel nacional. Con el fin de dar aplicación a las TRD.</w:t>
            </w:r>
            <w:r w:rsidR="00DB5E73">
              <w:rPr>
                <w:rFonts w:cs="Arial"/>
                <w:color w:val="000000"/>
                <w:sz w:val="16"/>
                <w:szCs w:val="16"/>
                <w:shd w:val="clear" w:color="auto" w:fill="EEEEEE"/>
              </w:rPr>
              <w:t>(octubre 12 del 2018)</w:t>
            </w:r>
          </w:p>
          <w:p w:rsidR="00126152" w:rsidRPr="00BD489F" w:rsidRDefault="00126152" w:rsidP="00EB05B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E6F51" w:rsidRPr="00BD489F" w:rsidRDefault="00BD489F" w:rsidP="000530F9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</w:t>
            </w:r>
            <w:r w:rsidR="00126152">
              <w:rPr>
                <w:rFonts w:cs="Arial"/>
                <w:sz w:val="16"/>
                <w:szCs w:val="16"/>
              </w:rPr>
              <w:t xml:space="preserve"> actualización</w:t>
            </w:r>
            <w:r>
              <w:rPr>
                <w:rFonts w:cs="Arial"/>
                <w:sz w:val="16"/>
                <w:szCs w:val="16"/>
              </w:rPr>
              <w:t xml:space="preserve"> de unificación y </w:t>
            </w:r>
            <w:r>
              <w:rPr>
                <w:rFonts w:cs="Arial"/>
                <w:bCs/>
                <w:sz w:val="16"/>
                <w:szCs w:val="16"/>
              </w:rPr>
              <w:t>estandarización</w:t>
            </w:r>
            <w:r w:rsidRPr="00BD489F">
              <w:rPr>
                <w:rFonts w:cs="Arial"/>
                <w:bCs/>
                <w:sz w:val="16"/>
                <w:szCs w:val="16"/>
              </w:rPr>
              <w:t xml:space="preserve"> las tablas de retención documental</w:t>
            </w:r>
            <w:r>
              <w:rPr>
                <w:rFonts w:cs="Arial"/>
                <w:bCs/>
                <w:sz w:val="16"/>
                <w:szCs w:val="16"/>
              </w:rPr>
              <w:t>.</w:t>
            </w:r>
          </w:p>
          <w:p w:rsidR="00BD489F" w:rsidRPr="00BD489F" w:rsidRDefault="00BD489F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BD489F" w:rsidRPr="00AA106C" w:rsidRDefault="00BD489F" w:rsidP="000530F9">
            <w:pPr>
              <w:pStyle w:val="Prrafodelista"/>
              <w:numPr>
                <w:ilvl w:val="0"/>
                <w:numId w:val="25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recursos</w:t>
            </w:r>
            <w:r w:rsidR="00A514BB">
              <w:rPr>
                <w:rFonts w:cs="Arial"/>
                <w:sz w:val="16"/>
                <w:szCs w:val="16"/>
              </w:rPr>
              <w:t xml:space="preserve"> humanos y financieros.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70C2" w:rsidRPr="002970C2" w:rsidRDefault="002970C2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8926D5" w:rsidRDefault="008926D5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Realización de estudios previos del proyecto actualización de unificación y </w:t>
            </w:r>
            <w:r>
              <w:rPr>
                <w:rFonts w:cs="Arial"/>
                <w:bCs/>
                <w:sz w:val="16"/>
                <w:szCs w:val="16"/>
              </w:rPr>
              <w:t>estandarización</w:t>
            </w:r>
            <w:r w:rsidRPr="00BD489F">
              <w:rPr>
                <w:rFonts w:cs="Arial"/>
                <w:bCs/>
                <w:sz w:val="16"/>
                <w:szCs w:val="16"/>
              </w:rPr>
              <w:t xml:space="preserve"> las tablas de retención documental</w:t>
            </w:r>
            <w:r>
              <w:rPr>
                <w:rFonts w:cs="Arial"/>
                <w:sz w:val="16"/>
                <w:szCs w:val="16"/>
              </w:rPr>
              <w:t>. (agosto 18 del 2017).</w:t>
            </w:r>
          </w:p>
          <w:p w:rsidR="008926D5" w:rsidRDefault="008926D5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Viabilidad jurídica del proyecto actualización de unificación y </w:t>
            </w:r>
            <w:r>
              <w:rPr>
                <w:rFonts w:cs="Arial"/>
                <w:bCs/>
                <w:sz w:val="16"/>
                <w:szCs w:val="16"/>
              </w:rPr>
              <w:t>estandarización</w:t>
            </w:r>
            <w:r w:rsidRPr="00BD489F">
              <w:rPr>
                <w:rFonts w:cs="Arial"/>
                <w:bCs/>
                <w:sz w:val="16"/>
                <w:szCs w:val="16"/>
              </w:rPr>
              <w:t xml:space="preserve"> las tablas de retención documental</w:t>
            </w:r>
            <w:r>
              <w:rPr>
                <w:rFonts w:cs="Arial"/>
                <w:sz w:val="16"/>
                <w:szCs w:val="16"/>
              </w:rPr>
              <w:t xml:space="preserve"> para realización de la contratación.(agosto 31 del 2017)</w:t>
            </w:r>
            <w:r w:rsidR="008D219C">
              <w:rPr>
                <w:rFonts w:cs="Arial"/>
                <w:sz w:val="16"/>
                <w:szCs w:val="16"/>
              </w:rPr>
              <w:t>.</w:t>
            </w:r>
          </w:p>
          <w:p w:rsidR="008D219C" w:rsidRDefault="008D219C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del V Conversatorio Nacional SIGCMA donde se dará énfasis en la Gestión Documental a nivel nacional tanto administrativo como judicial. (noviembre 20 y 21 del 2017)</w:t>
            </w:r>
          </w:p>
          <w:p w:rsidR="008926D5" w:rsidRDefault="008926D5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Ejecución del contrato actualización de unificación y </w:t>
            </w:r>
            <w:r>
              <w:rPr>
                <w:rFonts w:cs="Arial"/>
                <w:bCs/>
                <w:sz w:val="16"/>
                <w:szCs w:val="16"/>
              </w:rPr>
              <w:t>estandarización</w:t>
            </w:r>
            <w:r w:rsidRPr="00BD489F">
              <w:rPr>
                <w:rFonts w:cs="Arial"/>
                <w:bCs/>
                <w:sz w:val="16"/>
                <w:szCs w:val="16"/>
              </w:rPr>
              <w:t xml:space="preserve"> las tablas de retención documental</w:t>
            </w:r>
            <w:r>
              <w:rPr>
                <w:rFonts w:cs="Arial"/>
                <w:sz w:val="16"/>
                <w:szCs w:val="16"/>
              </w:rPr>
              <w:t>. (</w:t>
            </w:r>
            <w:r w:rsidR="002606DD">
              <w:rPr>
                <w:rFonts w:cs="Arial"/>
                <w:color w:val="000000" w:themeColor="text1"/>
                <w:sz w:val="16"/>
                <w:szCs w:val="16"/>
              </w:rPr>
              <w:t>octubre 12</w:t>
            </w:r>
            <w:r w:rsidR="006F2B10" w:rsidRPr="006F2B10">
              <w:rPr>
                <w:rFonts w:cs="Arial"/>
                <w:color w:val="000000" w:themeColor="text1"/>
                <w:sz w:val="16"/>
                <w:szCs w:val="16"/>
              </w:rPr>
              <w:t xml:space="preserve"> del 2018</w:t>
            </w:r>
            <w:r w:rsidRPr="006F2B10">
              <w:rPr>
                <w:rFonts w:cs="Arial"/>
                <w:color w:val="000000" w:themeColor="text1"/>
                <w:sz w:val="16"/>
                <w:szCs w:val="16"/>
              </w:rPr>
              <w:t>).</w:t>
            </w:r>
          </w:p>
          <w:p w:rsidR="008926D5" w:rsidRDefault="008926D5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Capacitación de las TRD, </w:t>
            </w:r>
            <w:r w:rsidRPr="002A39AE">
              <w:rPr>
                <w:rFonts w:cs="Arial"/>
                <w:sz w:val="16"/>
                <w:szCs w:val="16"/>
              </w:rPr>
              <w:t>manejo de archivo y sigobuis</w:t>
            </w:r>
            <w:r>
              <w:rPr>
                <w:rFonts w:cs="Arial"/>
                <w:sz w:val="16"/>
                <w:szCs w:val="16"/>
              </w:rPr>
              <w:t>.(junio 15 del 2018)</w:t>
            </w:r>
          </w:p>
          <w:p w:rsidR="008926D5" w:rsidRPr="002606DD" w:rsidRDefault="008926D5" w:rsidP="000530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2606DD">
              <w:rPr>
                <w:rFonts w:cs="Arial"/>
                <w:color w:val="000000" w:themeColor="text1"/>
                <w:sz w:val="16"/>
                <w:szCs w:val="16"/>
              </w:rPr>
              <w:t>Evaluar la efi</w:t>
            </w:r>
            <w:r w:rsidR="006F2B10" w:rsidRPr="002606DD">
              <w:rPr>
                <w:rFonts w:cs="Arial"/>
                <w:color w:val="000000" w:themeColor="text1"/>
                <w:sz w:val="16"/>
                <w:szCs w:val="16"/>
              </w:rPr>
              <w:t>ca</w:t>
            </w:r>
            <w:r w:rsidR="002606DD" w:rsidRPr="002606DD">
              <w:rPr>
                <w:rFonts w:cs="Arial"/>
                <w:color w:val="000000" w:themeColor="text1"/>
                <w:sz w:val="16"/>
                <w:szCs w:val="16"/>
              </w:rPr>
              <w:t xml:space="preserve">cia de la acción tomada(octubre 19 </w:t>
            </w:r>
            <w:r w:rsidRPr="002606DD">
              <w:rPr>
                <w:rFonts w:cs="Arial"/>
                <w:color w:val="000000" w:themeColor="text1"/>
                <w:sz w:val="16"/>
                <w:szCs w:val="16"/>
              </w:rPr>
              <w:t>de 201</w:t>
            </w:r>
            <w:r w:rsidR="006F2B10" w:rsidRPr="002606D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2606DD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  <w:p w:rsidR="008926D5" w:rsidRDefault="008926D5" w:rsidP="00F52E6E">
            <w:pPr>
              <w:pStyle w:val="Prrafodelista"/>
              <w:ind w:left="360"/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2606DD" w:rsidRPr="00D80E6F" w:rsidRDefault="002606DD" w:rsidP="00F52E6E">
            <w:pPr>
              <w:pStyle w:val="Prrafodelista"/>
              <w:ind w:left="360"/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096C93" w:rsidRPr="002970C2" w:rsidRDefault="00096C93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26152" w:rsidRDefault="00483B6B" w:rsidP="000530F9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="Arial"/>
                <w:sz w:val="16"/>
                <w:szCs w:val="16"/>
              </w:rPr>
            </w:pPr>
            <w:r w:rsidRPr="00126152">
              <w:rPr>
                <w:rFonts w:cs="Arial"/>
                <w:sz w:val="16"/>
                <w:szCs w:val="16"/>
              </w:rPr>
              <w:t>Realizar un estudio técnico por parte de la Unidad de Infraestructura Física, respecto a las necesidades de espacios o locaciones destina</w:t>
            </w:r>
            <w:r w:rsidR="00A66667" w:rsidRPr="00126152">
              <w:rPr>
                <w:rFonts w:cs="Arial"/>
                <w:sz w:val="16"/>
                <w:szCs w:val="16"/>
              </w:rPr>
              <w:t>das</w:t>
            </w:r>
            <w:r w:rsidRPr="00126152">
              <w:rPr>
                <w:rFonts w:cs="Arial"/>
                <w:sz w:val="16"/>
                <w:szCs w:val="16"/>
              </w:rPr>
              <w:t xml:space="preserve"> para </w:t>
            </w:r>
            <w:r w:rsidR="00126152" w:rsidRPr="00126152">
              <w:rPr>
                <w:rFonts w:cs="Arial"/>
                <w:sz w:val="16"/>
                <w:szCs w:val="16"/>
              </w:rPr>
              <w:t>los archivos</w:t>
            </w:r>
            <w:r w:rsidRPr="00126152">
              <w:rPr>
                <w:rFonts w:cs="Arial"/>
                <w:sz w:val="16"/>
                <w:szCs w:val="16"/>
              </w:rPr>
              <w:t xml:space="preserve"> de la institución.</w:t>
            </w:r>
            <w:r w:rsidR="00126152" w:rsidRPr="00126152">
              <w:rPr>
                <w:rFonts w:cs="Arial"/>
                <w:sz w:val="16"/>
                <w:szCs w:val="16"/>
              </w:rPr>
              <w:t xml:space="preserve"> </w:t>
            </w:r>
            <w:r w:rsidR="00E338B7">
              <w:rPr>
                <w:rFonts w:cs="Arial"/>
                <w:sz w:val="16"/>
                <w:szCs w:val="16"/>
              </w:rPr>
              <w:t>(junio 6 del 2018</w:t>
            </w:r>
            <w:r w:rsidR="008926D5">
              <w:rPr>
                <w:rFonts w:cs="Arial"/>
                <w:sz w:val="16"/>
                <w:szCs w:val="16"/>
              </w:rPr>
              <w:t>)</w:t>
            </w:r>
          </w:p>
          <w:p w:rsidR="008926D5" w:rsidRDefault="00E03402" w:rsidP="000530F9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="Arial"/>
                <w:sz w:val="16"/>
                <w:szCs w:val="16"/>
              </w:rPr>
            </w:pPr>
            <w:r w:rsidRPr="008926D5">
              <w:rPr>
                <w:rFonts w:cs="Arial"/>
                <w:sz w:val="16"/>
                <w:szCs w:val="16"/>
              </w:rPr>
              <w:lastRenderedPageBreak/>
              <w:t>Elaborar un plan que tenga por objeto definir la construcción o adecuación de espacio físicos</w:t>
            </w:r>
            <w:r w:rsidR="008926D5" w:rsidRPr="008926D5">
              <w:rPr>
                <w:rFonts w:cs="Arial"/>
                <w:sz w:val="16"/>
                <w:szCs w:val="16"/>
              </w:rPr>
              <w:t xml:space="preserve"> destinados para el archivo (junio 15 del 2018).</w:t>
            </w:r>
          </w:p>
          <w:p w:rsidR="008926D5" w:rsidRPr="008926D5" w:rsidRDefault="008926D5" w:rsidP="000530F9">
            <w:pPr>
              <w:pStyle w:val="Prrafodelista"/>
              <w:numPr>
                <w:ilvl w:val="0"/>
                <w:numId w:val="32"/>
              </w:numPr>
              <w:jc w:val="both"/>
              <w:rPr>
                <w:rFonts w:cs="Arial"/>
                <w:sz w:val="16"/>
                <w:szCs w:val="16"/>
              </w:rPr>
            </w:pPr>
            <w:r w:rsidRPr="008926D5">
              <w:rPr>
                <w:rFonts w:cs="Arial"/>
                <w:sz w:val="16"/>
                <w:szCs w:val="16"/>
              </w:rPr>
              <w:t>Evaluar la eficacia de la acción tomada (</w:t>
            </w:r>
            <w:r>
              <w:rPr>
                <w:rFonts w:cs="Arial"/>
                <w:sz w:val="16"/>
                <w:szCs w:val="16"/>
              </w:rPr>
              <w:t>agosto 02</w:t>
            </w:r>
            <w:r w:rsidRPr="00322C9D">
              <w:rPr>
                <w:rFonts w:cs="Arial"/>
                <w:sz w:val="16"/>
                <w:szCs w:val="16"/>
              </w:rPr>
              <w:t xml:space="preserve"> de 201</w:t>
            </w:r>
            <w:r>
              <w:rPr>
                <w:rFonts w:cs="Arial"/>
                <w:sz w:val="16"/>
                <w:szCs w:val="16"/>
              </w:rPr>
              <w:t>8)</w:t>
            </w:r>
          </w:p>
          <w:p w:rsidR="008926D5" w:rsidRDefault="008926D5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126152" w:rsidRDefault="0012615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26152" w:rsidRDefault="0012615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26152" w:rsidRPr="00126152" w:rsidRDefault="0012615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BD489F" w:rsidRPr="00096C93" w:rsidRDefault="00BD489F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8926D5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 xml:space="preserve">No hay evidencia de  la eficacia de las comunicaciones con los usuarios relacionadas con el tratamiento de las quejas y reclamaciones en los términos  establecidos- PROCESO COMUNICACIÓN INSTITUCIONAL 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88586D" w:rsidRDefault="00A92AC7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A92AC7" w:rsidRDefault="00A92AC7" w:rsidP="00F52E6E">
            <w:pPr>
              <w:jc w:val="both"/>
              <w:rPr>
                <w:rFonts w:cs="Arial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 xml:space="preserve">Caso </w:t>
            </w:r>
            <w:r w:rsidR="00DC0102" w:rsidRPr="00A92AC7">
              <w:rPr>
                <w:rFonts w:cs="Arial"/>
                <w:sz w:val="16"/>
                <w:szCs w:val="16"/>
              </w:rPr>
              <w:t>13555 recepcionado 4</w:t>
            </w:r>
            <w:r w:rsidRPr="00A92AC7">
              <w:rPr>
                <w:rFonts w:cs="Arial"/>
                <w:sz w:val="16"/>
                <w:szCs w:val="16"/>
              </w:rPr>
              <w:t xml:space="preserve"> de septiembre. No se ha redireccionado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 xml:space="preserve">Caso 13509. Derecho de petición para la sala disciplinaria recepcionado el 4 de septiembre, no tiene respuesta  y no se ha redireccionado 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>Caso 13542 derecho de petición para la sala disciplinaria</w:t>
            </w:r>
            <w:r w:rsidR="00DC0102" w:rsidRPr="00A92AC7">
              <w:rPr>
                <w:rFonts w:cs="Arial"/>
                <w:sz w:val="16"/>
                <w:szCs w:val="16"/>
              </w:rPr>
              <w:t>, recepcionado</w:t>
            </w:r>
            <w:r w:rsidRPr="00A92AC7">
              <w:rPr>
                <w:rFonts w:cs="Arial"/>
                <w:sz w:val="16"/>
                <w:szCs w:val="16"/>
              </w:rPr>
              <w:t xml:space="preserve">    el 9 de septiembre. No se ha redireccionado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CB55EF" w:rsidRDefault="00A92AC7" w:rsidP="00F52E6E">
            <w:pPr>
              <w:jc w:val="both"/>
              <w:rPr>
                <w:rFonts w:cs="Arial"/>
              </w:rPr>
            </w:pPr>
            <w:r w:rsidRPr="00A92AC7">
              <w:rPr>
                <w:rFonts w:cs="Arial"/>
                <w:sz w:val="16"/>
                <w:szCs w:val="16"/>
              </w:rPr>
              <w:t>Aplicativo en la ventana de tareas pendientes reporta 16 solicitudes fuera de términos</w:t>
            </w:r>
          </w:p>
          <w:p w:rsidR="001E6F51" w:rsidRPr="005E3CE8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7.2.3 c  y 8.2.1 c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E6F51" w:rsidRDefault="0016297A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Redireccionar y dar respuesta lo más pronto posible de los casos </w:t>
            </w:r>
            <w:r w:rsidRPr="00A92AC7">
              <w:rPr>
                <w:rFonts w:cs="Arial"/>
                <w:sz w:val="16"/>
                <w:szCs w:val="16"/>
              </w:rPr>
              <w:t>13555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92AC7">
              <w:rPr>
                <w:rFonts w:cs="Arial"/>
                <w:sz w:val="16"/>
                <w:szCs w:val="16"/>
              </w:rPr>
              <w:t>13509</w:t>
            </w:r>
            <w:r>
              <w:rPr>
                <w:rFonts w:cs="Arial"/>
                <w:sz w:val="16"/>
                <w:szCs w:val="16"/>
              </w:rPr>
              <w:t xml:space="preserve"> y </w:t>
            </w:r>
            <w:r w:rsidRPr="00A92AC7">
              <w:rPr>
                <w:rFonts w:cs="Arial"/>
                <w:sz w:val="16"/>
                <w:szCs w:val="16"/>
              </w:rPr>
              <w:t>13542</w:t>
            </w:r>
            <w:r>
              <w:rPr>
                <w:rFonts w:cs="Arial"/>
                <w:sz w:val="16"/>
                <w:szCs w:val="16"/>
              </w:rPr>
              <w:t xml:space="preserve"> y de los 16 casos reportados fuera de término.</w:t>
            </w:r>
            <w:r w:rsidR="002606DD">
              <w:rPr>
                <w:rFonts w:cs="Arial"/>
                <w:sz w:val="16"/>
                <w:szCs w:val="16"/>
              </w:rPr>
              <w:t>(noviembre 30 del 2017)</w:t>
            </w:r>
          </w:p>
          <w:p w:rsidR="00A21E08" w:rsidRDefault="00A21E08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1E08" w:rsidRDefault="00A21E08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297A" w:rsidRPr="00AA106C" w:rsidRDefault="0016297A" w:rsidP="000530F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Por la alta volumen de trabajo no se da respuesta oportuna de las Peticiones Quejas Reclamos y Sugerencias.</w:t>
            </w:r>
          </w:p>
          <w:p w:rsidR="0016297A" w:rsidRDefault="0016297A" w:rsidP="000530F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Falta de información para dar respuesta a las Peticiones Quejas Reclamos y Sugerencias</w:t>
            </w:r>
          </w:p>
          <w:p w:rsidR="001E6F51" w:rsidRDefault="0016297A" w:rsidP="000530F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sz w:val="16"/>
                <w:szCs w:val="16"/>
              </w:rPr>
            </w:pPr>
            <w:r w:rsidRPr="00AA106C">
              <w:rPr>
                <w:rFonts w:cs="Arial"/>
                <w:sz w:val="16"/>
                <w:szCs w:val="16"/>
              </w:rPr>
              <w:t>Falta de seguimiento a al vencimiento de</w:t>
            </w:r>
            <w:r w:rsidR="001500DA">
              <w:rPr>
                <w:rFonts w:cs="Arial"/>
                <w:sz w:val="16"/>
                <w:szCs w:val="16"/>
              </w:rPr>
              <w:t xml:space="preserve"> respuesta oportunas de las PQR</w:t>
            </w:r>
            <w:r w:rsidR="00CE446B">
              <w:rPr>
                <w:rFonts w:cs="Arial"/>
                <w:sz w:val="16"/>
                <w:szCs w:val="16"/>
              </w:rPr>
              <w:t>.</w:t>
            </w:r>
          </w:p>
          <w:p w:rsidR="004F512D" w:rsidRPr="00AA106C" w:rsidRDefault="004F512D" w:rsidP="000530F9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Problemas con el software de calidad para dar respuesta oportuna.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F51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4F512D" w:rsidRPr="004F512D" w:rsidRDefault="002A696A" w:rsidP="000530F9">
            <w:pPr>
              <w:pStyle w:val="Prrafodelista"/>
              <w:numPr>
                <w:ilvl w:val="0"/>
                <w:numId w:val="28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Divulgar </w:t>
            </w:r>
            <w:r w:rsidR="004F512D" w:rsidRPr="004F512D">
              <w:rPr>
                <w:rFonts w:cs="Arial"/>
                <w:sz w:val="16"/>
                <w:szCs w:val="16"/>
                <w:shd w:val="clear" w:color="auto" w:fill="FFFFFF"/>
              </w:rPr>
              <w:t xml:space="preserve"> los usuarios del sistema el procedimien</w:t>
            </w:r>
            <w:r w:rsidR="004F512D">
              <w:rPr>
                <w:rFonts w:cs="Arial"/>
                <w:sz w:val="16"/>
                <w:szCs w:val="16"/>
                <w:shd w:val="clear" w:color="auto" w:fill="FFFFFF"/>
              </w:rPr>
              <w:t xml:space="preserve">to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de pqrs </w:t>
            </w:r>
            <w:r w:rsidR="004F512D">
              <w:rPr>
                <w:rFonts w:cs="Arial"/>
                <w:sz w:val="16"/>
                <w:szCs w:val="16"/>
                <w:shd w:val="clear" w:color="auto" w:fill="FFFFFF"/>
              </w:rPr>
              <w:t>por medio del</w:t>
            </w:r>
            <w:r w:rsidR="004F512D" w:rsidRPr="004F512D">
              <w:rPr>
                <w:rFonts w:cs="Arial"/>
                <w:sz w:val="16"/>
                <w:szCs w:val="16"/>
                <w:shd w:val="clear" w:color="auto" w:fill="FFFFFF"/>
              </w:rPr>
              <w:t xml:space="preserve"> aula virtual</w:t>
            </w:r>
            <w:r w:rsidR="004F512D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(septiembre 27 del 2017)</w:t>
            </w:r>
          </w:p>
          <w:p w:rsidR="004F512D" w:rsidRPr="004F512D" w:rsidRDefault="005C4A64" w:rsidP="000530F9">
            <w:pPr>
              <w:pStyle w:val="Prrafodelista"/>
              <w:numPr>
                <w:ilvl w:val="0"/>
                <w:numId w:val="28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hyperlink r:id="rId8" w:history="1">
              <w:r w:rsidR="004F512D" w:rsidRPr="004F512D">
                <w:rPr>
                  <w:rStyle w:val="Hipervnculo"/>
                  <w:rFonts w:cs="Arial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Llevar a cabo prácticas del manejo del módulo de QRS a los responsables de los procesos y grupos operativos</w:t>
              </w:r>
            </w:hyperlink>
            <w:r w:rsidR="002A696A">
              <w:rPr>
                <w:sz w:val="16"/>
                <w:szCs w:val="16"/>
              </w:rPr>
              <w:t>.(marzo 30 del 2017)</w:t>
            </w:r>
          </w:p>
          <w:p w:rsidR="008C2A2A" w:rsidRDefault="008C2A2A" w:rsidP="000530F9">
            <w:pPr>
              <w:pStyle w:val="Prrafodelista"/>
              <w:numPr>
                <w:ilvl w:val="0"/>
                <w:numId w:val="28"/>
              </w:numPr>
              <w:ind w:left="36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Seguimiento periódico de las pqrs por medio del software de calidad. </w:t>
            </w:r>
            <w:r w:rsidR="002A696A">
              <w:rPr>
                <w:rFonts w:cs="Arial"/>
                <w:sz w:val="16"/>
                <w:szCs w:val="16"/>
              </w:rPr>
              <w:t>(octubre 17 del 2017)</w:t>
            </w:r>
          </w:p>
          <w:p w:rsidR="002A696A" w:rsidRPr="00322C9D" w:rsidRDefault="002A696A" w:rsidP="000530F9">
            <w:pPr>
              <w:pStyle w:val="Prrafodelista"/>
              <w:numPr>
                <w:ilvl w:val="0"/>
                <w:numId w:val="28"/>
              </w:numPr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322C9D">
              <w:rPr>
                <w:rFonts w:cs="Arial"/>
                <w:sz w:val="16"/>
                <w:szCs w:val="16"/>
              </w:rPr>
              <w:t>Evaluar la efi</w:t>
            </w:r>
            <w:r>
              <w:rPr>
                <w:rFonts w:cs="Arial"/>
                <w:sz w:val="16"/>
                <w:szCs w:val="16"/>
              </w:rPr>
              <w:t>cacia de la acción tomada(abril 12</w:t>
            </w:r>
            <w:r w:rsidRPr="00322C9D">
              <w:rPr>
                <w:rFonts w:cs="Arial"/>
                <w:sz w:val="16"/>
                <w:szCs w:val="16"/>
              </w:rPr>
              <w:t xml:space="preserve"> de 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322C9D">
              <w:rPr>
                <w:rFonts w:cs="Arial"/>
                <w:sz w:val="16"/>
                <w:szCs w:val="16"/>
              </w:rPr>
              <w:t>)</w:t>
            </w:r>
          </w:p>
          <w:p w:rsidR="002A696A" w:rsidRPr="00F264A2" w:rsidRDefault="002A696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A696A" w:rsidRPr="002A696A" w:rsidRDefault="002A696A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>No han sido eficaces las acciones tomadas para dar tratamiento al reordenamiento /descongestión en los despachos judiciales.-SECCIONAL RISARALDA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88586D" w:rsidRDefault="00A92AC7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lastRenderedPageBreak/>
              <w:t>Informe de análisis de los resultados de la encuesta de satisfacción del primer trimestre de 2017 en el que el 57% de las respuestas fueron calificadas como de mala gestión.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A92AC7">
              <w:rPr>
                <w:rFonts w:cs="Arial"/>
                <w:sz w:val="16"/>
                <w:szCs w:val="16"/>
              </w:rPr>
              <w:t>Proyecto  integral de reordenamiento judicial de  2016 en el que se plantean las acciones propuestas para el reordenamiento</w:t>
            </w: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E6F51" w:rsidRPr="005E3CE8" w:rsidRDefault="001E6F51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1E6F51" w:rsidRP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8.5.2  y 10.2 </w:t>
            </w:r>
            <w:r w:rsidR="00A92AC7" w:rsidRPr="00A92AC7">
              <w:rPr>
                <w:rFonts w:cs="Arial"/>
                <w:sz w:val="16"/>
                <w:szCs w:val="16"/>
              </w:rPr>
              <w:t>b</w:t>
            </w:r>
            <w:r>
              <w:rPr>
                <w:rFonts w:cs="Arial"/>
                <w:sz w:val="16"/>
                <w:szCs w:val="16"/>
              </w:rPr>
              <w:t xml:space="preserve"> y c</w:t>
            </w:r>
            <w:r w:rsidR="00A92AC7"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50FF" w:rsidRPr="003435E0" w:rsidRDefault="00DF139B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Establecer el plan de mejoramiento adecuado para la eficacia de las acciones tomadas</w:t>
            </w:r>
            <w:r w:rsidR="0042519F">
              <w:rPr>
                <w:rFonts w:cs="Arial"/>
                <w:sz w:val="16"/>
                <w:szCs w:val="16"/>
              </w:rPr>
              <w:t xml:space="preserve"> para el reordenamiento</w:t>
            </w:r>
            <w:r w:rsidR="003435E0">
              <w:rPr>
                <w:rFonts w:cs="Arial"/>
                <w:sz w:val="16"/>
                <w:szCs w:val="16"/>
              </w:rPr>
              <w:t>(diciembre 29 del 2017)</w:t>
            </w:r>
          </w:p>
          <w:p w:rsidR="003250FF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49F4" w:rsidRPr="003949F4" w:rsidRDefault="003949F4" w:rsidP="003949F4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="Arial"/>
                <w:sz w:val="16"/>
                <w:szCs w:val="16"/>
              </w:rPr>
            </w:pPr>
            <w:r w:rsidRPr="003949F4">
              <w:rPr>
                <w:rFonts w:cs="Arial"/>
                <w:sz w:val="16"/>
                <w:szCs w:val="16"/>
              </w:rPr>
              <w:t>Las actividades planificadas no son eficaces y no eliminan la no conformidad.</w:t>
            </w:r>
          </w:p>
          <w:p w:rsidR="003949F4" w:rsidRPr="003949F4" w:rsidRDefault="003949F4" w:rsidP="003949F4">
            <w:pPr>
              <w:pStyle w:val="Prrafodelista"/>
              <w:numPr>
                <w:ilvl w:val="0"/>
                <w:numId w:val="27"/>
              </w:numPr>
              <w:contextualSpacing/>
              <w:rPr>
                <w:rFonts w:cs="Arial"/>
                <w:sz w:val="16"/>
                <w:szCs w:val="16"/>
              </w:rPr>
            </w:pPr>
            <w:r w:rsidRPr="003949F4">
              <w:rPr>
                <w:rFonts w:cs="Arial"/>
                <w:sz w:val="16"/>
                <w:szCs w:val="16"/>
              </w:rPr>
              <w:t>Falta de recursos para cargos de descongestión.</w:t>
            </w:r>
          </w:p>
          <w:p w:rsidR="00DF139B" w:rsidRPr="00AA106C" w:rsidRDefault="003949F4" w:rsidP="003949F4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="Arial"/>
                <w:sz w:val="16"/>
                <w:szCs w:val="16"/>
              </w:rPr>
            </w:pPr>
            <w:r w:rsidRPr="003949F4">
              <w:rPr>
                <w:rFonts w:cs="Arial"/>
                <w:sz w:val="16"/>
                <w:szCs w:val="16"/>
              </w:rPr>
              <w:t>Falta de sustentación en la solicitud de propuestas de reordenamiento por parte de las seccionales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1C79" w:rsidRDefault="00FD1C79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FD1C79" w:rsidRDefault="00FD1C79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FD1C79" w:rsidRPr="00FD1C79" w:rsidRDefault="00FD1C79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DD5DFC" w:rsidRPr="00DD5DFC" w:rsidRDefault="00DD5DFC" w:rsidP="000530F9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DD5DFC">
              <w:rPr>
                <w:rFonts w:cs="Arial"/>
                <w:sz w:val="16"/>
                <w:szCs w:val="16"/>
              </w:rPr>
              <w:t xml:space="preserve">Creación   documento por parte de la UDAE del Análisis Técnico Estándar herramienta para la toma de decisiones en la creación de cargos o despachos judiciales para apoyar la descongestión en aquellos distritos </w:t>
            </w:r>
            <w:r w:rsidRPr="00DD5DFC">
              <w:rPr>
                <w:rFonts w:cs="Arial"/>
                <w:sz w:val="16"/>
                <w:szCs w:val="16"/>
              </w:rPr>
              <w:lastRenderedPageBreak/>
              <w:t>que así lo requieran( Octubre 18 del 2017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DD5DFC" w:rsidRPr="00DD5DFC" w:rsidRDefault="00DD5DFC" w:rsidP="00DD5DFC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sz w:val="16"/>
                <w:szCs w:val="16"/>
              </w:rPr>
            </w:pPr>
            <w:r w:rsidRPr="00DD5DFC">
              <w:rPr>
                <w:rFonts w:cs="Arial"/>
                <w:sz w:val="16"/>
                <w:szCs w:val="16"/>
              </w:rPr>
              <w:t xml:space="preserve">Elaboración de la metodología de la matriz de prioridades para evaluar el desempeño y nivel de congestión de los despachos judiciales  </w:t>
            </w:r>
            <w:r>
              <w:rPr>
                <w:rFonts w:cs="Arial"/>
                <w:sz w:val="16"/>
                <w:szCs w:val="16"/>
              </w:rPr>
              <w:t>(</w:t>
            </w:r>
            <w:r w:rsidRPr="00DD5DFC">
              <w:rPr>
                <w:rFonts w:cs="Arial"/>
                <w:sz w:val="16"/>
                <w:szCs w:val="16"/>
              </w:rPr>
              <w:t>Octubre 18 del 2017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DD5DFC" w:rsidRPr="000A55F6" w:rsidRDefault="00DD5DFC" w:rsidP="00F4416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A55F6">
              <w:rPr>
                <w:rFonts w:cs="Arial"/>
                <w:sz w:val="16"/>
                <w:szCs w:val="16"/>
              </w:rPr>
              <w:t>Elaboración de una guía para documentar la metodología del Análisis Técnico Estándar herramienta para la toma de decisiones en la creación de cargos o despachos judiciales.</w:t>
            </w:r>
            <w:r w:rsidRPr="000A55F6">
              <w:rPr>
                <w:rFonts w:cs="Arial"/>
              </w:rPr>
              <w:t xml:space="preserve"> (</w:t>
            </w:r>
            <w:r w:rsidRPr="000A55F6">
              <w:rPr>
                <w:rFonts w:cs="Arial"/>
                <w:sz w:val="16"/>
                <w:szCs w:val="16"/>
              </w:rPr>
              <w:t>Junio 29 del 2018)</w:t>
            </w:r>
            <w:r w:rsidR="000A55F6" w:rsidRPr="000A55F6">
              <w:rPr>
                <w:rFonts w:cs="Arial"/>
                <w:sz w:val="16"/>
                <w:szCs w:val="16"/>
              </w:rPr>
              <w:t>.</w:t>
            </w:r>
          </w:p>
          <w:p w:rsidR="00FD1C79" w:rsidRPr="00503DF9" w:rsidRDefault="00FD1C79" w:rsidP="000530F9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03DF9">
              <w:rPr>
                <w:rFonts w:cs="Arial"/>
                <w:sz w:val="16"/>
                <w:szCs w:val="16"/>
              </w:rPr>
              <w:t>Evaluar la eficaci</w:t>
            </w:r>
            <w:r w:rsidR="00503DF9">
              <w:rPr>
                <w:rFonts w:cs="Arial"/>
                <w:sz w:val="16"/>
                <w:szCs w:val="16"/>
              </w:rPr>
              <w:t xml:space="preserve">a de la acción </w:t>
            </w:r>
            <w:r w:rsidR="00DC0102">
              <w:rPr>
                <w:rFonts w:cs="Arial"/>
                <w:sz w:val="16"/>
                <w:szCs w:val="16"/>
              </w:rPr>
              <w:t>tomada (</w:t>
            </w:r>
            <w:r w:rsidR="000A55F6">
              <w:rPr>
                <w:rFonts w:cs="Arial"/>
                <w:sz w:val="16"/>
                <w:szCs w:val="16"/>
              </w:rPr>
              <w:t>Julio</w:t>
            </w:r>
            <w:r w:rsidR="00503DF9">
              <w:rPr>
                <w:rFonts w:cs="Arial"/>
                <w:sz w:val="16"/>
                <w:szCs w:val="16"/>
              </w:rPr>
              <w:t xml:space="preserve"> </w:t>
            </w:r>
            <w:r w:rsidR="000A55F6">
              <w:rPr>
                <w:rFonts w:cs="Arial"/>
                <w:sz w:val="16"/>
                <w:szCs w:val="16"/>
              </w:rPr>
              <w:t>12</w:t>
            </w:r>
            <w:r w:rsidR="00DC0102" w:rsidRPr="00503DF9">
              <w:rPr>
                <w:rFonts w:cs="Arial"/>
                <w:sz w:val="16"/>
                <w:szCs w:val="16"/>
              </w:rPr>
              <w:t xml:space="preserve"> de</w:t>
            </w:r>
            <w:r w:rsidR="000A55F6">
              <w:rPr>
                <w:rFonts w:cs="Arial"/>
                <w:sz w:val="16"/>
                <w:szCs w:val="16"/>
              </w:rPr>
              <w:t xml:space="preserve"> 2018</w:t>
            </w:r>
            <w:r w:rsidRPr="00503DF9">
              <w:rPr>
                <w:rFonts w:cs="Arial"/>
                <w:sz w:val="16"/>
                <w:szCs w:val="16"/>
              </w:rPr>
              <w:t>)</w:t>
            </w:r>
            <w:r w:rsidR="00503DF9">
              <w:rPr>
                <w:rFonts w:cs="Arial"/>
                <w:sz w:val="16"/>
                <w:szCs w:val="16"/>
              </w:rPr>
              <w:t>.</w:t>
            </w:r>
          </w:p>
          <w:p w:rsidR="00FD1C79" w:rsidRPr="00FD1C79" w:rsidRDefault="00FD1C7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250FF" w:rsidRDefault="003250FF" w:rsidP="003250FF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250FF" w:rsidRPr="003250FF" w:rsidRDefault="003250FF" w:rsidP="003250FF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3250FF" w:rsidRPr="003250FF" w:rsidRDefault="003250FF" w:rsidP="00DD5DFC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15824" w:rsidRP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sz w:val="16"/>
                <w:szCs w:val="16"/>
              </w:rPr>
              <w:t>El informe de auditoría interna no suministra información relacionada con la conformidad con los requisitos y la implementación eficaz del sistema de gestión de calidad- SECCIONAL RISARALDA.</w:t>
            </w:r>
          </w:p>
          <w:p w:rsidR="00F15824" w:rsidRPr="00CB55EF" w:rsidRDefault="00F15824" w:rsidP="00F52E6E">
            <w:pPr>
              <w:jc w:val="both"/>
              <w:rPr>
                <w:rFonts w:cs="Arial"/>
              </w:rPr>
            </w:pPr>
          </w:p>
          <w:p w:rsidR="00F15824" w:rsidRDefault="00F1582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8586D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F15824" w:rsidRDefault="00F1582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F15824" w:rsidRP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sz w:val="16"/>
                <w:szCs w:val="16"/>
              </w:rPr>
              <w:t xml:space="preserve">En el Informe de 22 de agosto de 2017   se registra en el objetivo el determinar si el sistema de gestión y control de la calidad  y medio ambiente SIGCMA  se encuentra conforme con las disposiciones planificadas  con los requisitos de las normas  GP 1000:2009 y NTC ISO 9001:2015  y en las conclusiones  del numeral 3.4 del informe  se registra que el ,sistema se ha mantenido eficaz, eficiente y efectivo  toda vez que el mismo  se encuentra ampliamente documentado con metodologías y herramientas que están siendo utilizadas y que muestran la dedicación  por mantener la mejora continua, el alto trabajo y compromiso </w:t>
            </w:r>
            <w:r w:rsidRPr="00F15824">
              <w:rPr>
                <w:rFonts w:cs="Arial"/>
                <w:b/>
                <w:sz w:val="16"/>
                <w:szCs w:val="16"/>
              </w:rPr>
              <w:t>por preservar el medio ambiente.</w:t>
            </w:r>
          </w:p>
          <w:p w:rsidR="00F15824" w:rsidRPr="0088586D" w:rsidRDefault="00F1582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A92AC7" w:rsidRP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P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sz w:val="16"/>
                <w:szCs w:val="16"/>
              </w:rPr>
              <w:t>8.2.2 a y b y 9.2.1 a y b</w:t>
            </w:r>
            <w:r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2AC7" w:rsidRDefault="00503DF9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Incluir  en el informe de </w:t>
            </w:r>
            <w:r w:rsidR="002970C2">
              <w:rPr>
                <w:rFonts w:cs="Arial"/>
                <w:sz w:val="16"/>
                <w:szCs w:val="16"/>
              </w:rPr>
              <w:t>auditoría</w:t>
            </w:r>
            <w:r>
              <w:rPr>
                <w:rFonts w:cs="Arial"/>
                <w:sz w:val="16"/>
                <w:szCs w:val="16"/>
              </w:rPr>
              <w:t xml:space="preserve"> interna </w:t>
            </w:r>
            <w:r w:rsidRPr="00F15824">
              <w:rPr>
                <w:rFonts w:cs="Arial"/>
                <w:sz w:val="16"/>
                <w:szCs w:val="16"/>
              </w:rPr>
              <w:t>información relacionada con la conformidad con los requisitos y la implementación eficaz del sistema de gestión de calidad</w:t>
            </w:r>
            <w:r w:rsidR="003435E0">
              <w:rPr>
                <w:rFonts w:cs="Arial"/>
                <w:sz w:val="16"/>
                <w:szCs w:val="16"/>
              </w:rPr>
              <w:t>(noviembre 30 del 2017)</w:t>
            </w:r>
          </w:p>
          <w:p w:rsidR="003250FF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250FF" w:rsidRPr="003250FF" w:rsidRDefault="003250FF" w:rsidP="003250FF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3250FF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2AC7" w:rsidRDefault="002970C2" w:rsidP="000530F9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capacitación a los auditores internos.</w:t>
            </w:r>
          </w:p>
          <w:p w:rsidR="002970C2" w:rsidRPr="00AA106C" w:rsidRDefault="002970C2" w:rsidP="000530F9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Desconocimiento de la presentación del informe de </w:t>
            </w:r>
            <w:r w:rsidR="00A40CE6">
              <w:rPr>
                <w:rFonts w:cs="Arial"/>
                <w:sz w:val="16"/>
                <w:szCs w:val="16"/>
              </w:rPr>
              <w:t>auditoría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92AC7" w:rsidRDefault="00A92AC7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5B60C9" w:rsidRDefault="005B60C9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5B60C9" w:rsidRDefault="005B60C9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5B60C9" w:rsidRDefault="005B60C9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443D9E" w:rsidRDefault="00443D9E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  <w:p w:rsidR="005B60C9" w:rsidRDefault="00AA7212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2970C2" w:rsidRDefault="0061071E" w:rsidP="000530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 estudios previos del proyecto Diplomado en Formación de auditores HSEQ.</w:t>
            </w:r>
            <w:r w:rsidR="00A40CE6">
              <w:rPr>
                <w:rFonts w:cs="Arial"/>
                <w:sz w:val="16"/>
                <w:szCs w:val="16"/>
              </w:rPr>
              <w:t xml:space="preserve"> </w:t>
            </w:r>
            <w:r w:rsidR="00BB6953">
              <w:rPr>
                <w:rFonts w:cs="Arial"/>
                <w:sz w:val="16"/>
                <w:szCs w:val="16"/>
              </w:rPr>
              <w:t>(junio 30 de 2017)</w:t>
            </w:r>
          </w:p>
          <w:p w:rsidR="0061071E" w:rsidRDefault="0061071E" w:rsidP="000530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Envió de etapa precontractual a la Dirección Ejecutiva de Administración para realización de la </w:t>
            </w:r>
            <w:r w:rsidR="00A40CE6">
              <w:rPr>
                <w:rFonts w:cs="Arial"/>
                <w:sz w:val="16"/>
                <w:szCs w:val="16"/>
              </w:rPr>
              <w:t>contratación</w:t>
            </w:r>
            <w:r>
              <w:rPr>
                <w:rFonts w:cs="Arial"/>
                <w:sz w:val="16"/>
                <w:szCs w:val="16"/>
              </w:rPr>
              <w:t>.</w:t>
            </w:r>
            <w:r w:rsidR="00BB6953">
              <w:rPr>
                <w:rFonts w:cs="Arial"/>
                <w:sz w:val="16"/>
                <w:szCs w:val="16"/>
              </w:rPr>
              <w:t xml:space="preserve"> (julio 28 de 2017)</w:t>
            </w:r>
          </w:p>
          <w:p w:rsidR="00A40CE6" w:rsidRDefault="00A40CE6" w:rsidP="000530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Ejecución del contrato Diplomado en Formación de auditores HSEQ. (abril 13 del 2018)</w:t>
            </w:r>
          </w:p>
          <w:p w:rsidR="00A40CE6" w:rsidRPr="00503DF9" w:rsidRDefault="00A40CE6" w:rsidP="000530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03DF9">
              <w:rPr>
                <w:rFonts w:cs="Arial"/>
                <w:sz w:val="16"/>
                <w:szCs w:val="16"/>
              </w:rPr>
              <w:t>Evaluar la eficaci</w:t>
            </w:r>
            <w:r>
              <w:rPr>
                <w:rFonts w:cs="Arial"/>
                <w:sz w:val="16"/>
                <w:szCs w:val="16"/>
              </w:rPr>
              <w:t xml:space="preserve">a de la acción tomada (mayo </w:t>
            </w:r>
            <w:r w:rsidR="005B60C9">
              <w:rPr>
                <w:rFonts w:cs="Arial"/>
                <w:sz w:val="16"/>
                <w:szCs w:val="16"/>
              </w:rPr>
              <w:t>3</w:t>
            </w:r>
            <w:r w:rsidR="005B60C9" w:rsidRPr="00503DF9">
              <w:rPr>
                <w:rFonts w:cs="Arial"/>
                <w:sz w:val="16"/>
                <w:szCs w:val="16"/>
              </w:rPr>
              <w:t xml:space="preserve"> de</w:t>
            </w:r>
            <w:r w:rsidRPr="00503DF9">
              <w:rPr>
                <w:rFonts w:cs="Arial"/>
                <w:sz w:val="16"/>
                <w:szCs w:val="16"/>
              </w:rPr>
              <w:t xml:space="preserve"> 2017)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A40CE6" w:rsidRPr="00322C9D" w:rsidRDefault="00A40CE6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P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sz w:val="16"/>
                <w:szCs w:val="16"/>
              </w:rPr>
              <w:t>En la planificación de cómo lograr los objetivos de la calidad, la organización no ha determinado qué se va a hacer, qué recursos se requerirán, cuándo se finalizará y cómo se evaluarán los resultados.</w:t>
            </w:r>
          </w:p>
          <w:p w:rsidR="00F15824" w:rsidRP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15824" w:rsidRPr="00F15824" w:rsidRDefault="00F1582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F15824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F15824" w:rsidRP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sz w:val="16"/>
                <w:szCs w:val="16"/>
              </w:rPr>
              <w:t>No se cuenta con una planificación para asegurar el logro de los objetivos de la calidad.</w:t>
            </w:r>
          </w:p>
          <w:p w:rsidR="00F15824" w:rsidRP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15824">
              <w:rPr>
                <w:rFonts w:cs="Arial"/>
                <w:b/>
                <w:sz w:val="16"/>
                <w:szCs w:val="16"/>
              </w:rPr>
              <w:t>SPA Bucaramanga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P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917812">
              <w:rPr>
                <w:rFonts w:cs="Arial"/>
                <w:sz w:val="16"/>
                <w:szCs w:val="16"/>
              </w:rPr>
              <w:t>6.2.2</w:t>
            </w:r>
            <w:r w:rsidR="00917812"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4983" w:rsidRPr="003250FF" w:rsidRDefault="00B04983" w:rsidP="00F52E6E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A92AC7" w:rsidRDefault="00364F64" w:rsidP="00F52E6E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364F64">
              <w:rPr>
                <w:rFonts w:cs="Arial"/>
                <w:color w:val="000000" w:themeColor="text1"/>
                <w:sz w:val="16"/>
                <w:szCs w:val="16"/>
              </w:rPr>
              <w:t xml:space="preserve">Divulgar a los despachos judiciales el despliegue por objetivos que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="0026395E" w:rsidRPr="00364F64">
              <w:rPr>
                <w:rFonts w:cs="Arial"/>
                <w:color w:val="000000" w:themeColor="text1"/>
                <w:sz w:val="16"/>
                <w:szCs w:val="16"/>
              </w:rPr>
              <w:t xml:space="preserve">e ve reflejado en el informe de revisión para la alta dirección 2016 y en el Plan de mantenimiento y mejoramiento del SIGCMA 2016.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92166C" w:rsidRPr="00364F64">
              <w:rPr>
                <w:rFonts w:cs="Arial"/>
                <w:color w:val="000000" w:themeColor="text1"/>
                <w:sz w:val="16"/>
                <w:szCs w:val="16"/>
              </w:rPr>
              <w:t>Noviembre</w:t>
            </w:r>
            <w:r w:rsidRPr="00364F64">
              <w:rPr>
                <w:rFonts w:cs="Arial"/>
                <w:color w:val="000000" w:themeColor="text1"/>
                <w:sz w:val="16"/>
                <w:szCs w:val="16"/>
              </w:rPr>
              <w:t xml:space="preserve"> 30</w:t>
            </w:r>
            <w:r w:rsidR="00176905" w:rsidRPr="00364F64">
              <w:rPr>
                <w:rFonts w:cs="Arial"/>
                <w:color w:val="000000" w:themeColor="text1"/>
                <w:sz w:val="16"/>
                <w:szCs w:val="16"/>
              </w:rPr>
              <w:t xml:space="preserve"> del 2017</w:t>
            </w:r>
            <w:r w:rsidRPr="00364F64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  <w:p w:rsidR="003250FF" w:rsidRDefault="003250FF" w:rsidP="00F52E6E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</w:p>
          <w:p w:rsidR="003250FF" w:rsidRPr="00B04983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2AC7" w:rsidRDefault="00AB7FF4" w:rsidP="000530F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Desconocimiento de los documentos del SIGCMA.</w:t>
            </w:r>
          </w:p>
          <w:p w:rsidR="00AB7FF4" w:rsidRPr="00AA106C" w:rsidRDefault="007E6D41" w:rsidP="000530F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comunicación a los despachos judiciales del Sistema Penal Acusatorio</w:t>
            </w:r>
            <w:r w:rsidR="0015109B">
              <w:rPr>
                <w:rFonts w:cs="Arial"/>
                <w:sz w:val="16"/>
                <w:szCs w:val="16"/>
              </w:rPr>
              <w:t xml:space="preserve"> del direccionamiento estratégico impartido por la Seccional y por nivel central</w:t>
            </w:r>
            <w:r w:rsidR="0017690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92AC7" w:rsidRDefault="00AB7FF4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Divulgar y reiterar los documentos (</w:t>
            </w:r>
            <w:r w:rsidR="008E7ED6">
              <w:rPr>
                <w:rFonts w:cs="Arial"/>
                <w:sz w:val="16"/>
                <w:szCs w:val="16"/>
              </w:rPr>
              <w:t>Plan Sectorial de Desarrol</w:t>
            </w:r>
            <w:r w:rsidR="00176905">
              <w:rPr>
                <w:rFonts w:cs="Arial"/>
                <w:sz w:val="16"/>
                <w:szCs w:val="16"/>
              </w:rPr>
              <w:t xml:space="preserve">lo, </w:t>
            </w:r>
            <w:r>
              <w:rPr>
                <w:rFonts w:cs="Arial"/>
                <w:sz w:val="16"/>
                <w:szCs w:val="16"/>
              </w:rPr>
              <w:t xml:space="preserve">informe de revisión </w:t>
            </w:r>
            <w:r w:rsidR="00176905">
              <w:rPr>
                <w:rFonts w:cs="Arial"/>
                <w:sz w:val="16"/>
                <w:szCs w:val="16"/>
              </w:rPr>
              <w:t xml:space="preserve">para la alta dirección 2016 y  </w:t>
            </w:r>
            <w:r>
              <w:rPr>
                <w:rFonts w:cs="Arial"/>
                <w:sz w:val="16"/>
                <w:szCs w:val="16"/>
              </w:rPr>
              <w:t xml:space="preserve"> Plan de mantenimiento</w:t>
            </w:r>
            <w:r w:rsidR="007E6D41">
              <w:rPr>
                <w:rFonts w:cs="Arial"/>
                <w:sz w:val="16"/>
                <w:szCs w:val="16"/>
              </w:rPr>
              <w:t xml:space="preserve"> y mejoramiento del SIGCMA 2016 de nivel central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  <w:r w:rsidR="007E6D41">
              <w:rPr>
                <w:rFonts w:cs="Arial"/>
                <w:sz w:val="16"/>
                <w:szCs w:val="16"/>
              </w:rPr>
              <w:t xml:space="preserve">haciendo énfasis en el despliegue de los objetivos  de calidad y la medición </w:t>
            </w:r>
            <w:r>
              <w:rPr>
                <w:rFonts w:cs="Arial"/>
                <w:sz w:val="16"/>
                <w:szCs w:val="16"/>
              </w:rPr>
              <w:t>a todos los servidores judiciales del Consejo Seccional y a los despachos judicial</w:t>
            </w:r>
            <w:r w:rsidR="007E6D41">
              <w:rPr>
                <w:rFonts w:cs="Arial"/>
                <w:sz w:val="16"/>
                <w:szCs w:val="16"/>
              </w:rPr>
              <w:t>es del Sistema Penal Acusatorio de Bucaramanga.</w:t>
            </w:r>
            <w:r w:rsidR="008E7ED6">
              <w:rPr>
                <w:rFonts w:cs="Arial"/>
                <w:sz w:val="16"/>
                <w:szCs w:val="16"/>
              </w:rPr>
              <w:t>(noviembre 30 del 2017)</w:t>
            </w:r>
          </w:p>
          <w:p w:rsidR="008E3955" w:rsidRDefault="007E6D41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Incluir</w:t>
            </w:r>
            <w:r w:rsidR="008E3955">
              <w:rPr>
                <w:rFonts w:cs="Arial"/>
                <w:sz w:val="16"/>
                <w:szCs w:val="16"/>
              </w:rPr>
              <w:t xml:space="preserve"> el despliegue de objetivos de calidad dentro del informe de revis</w:t>
            </w:r>
            <w:r w:rsidR="005E565C">
              <w:rPr>
                <w:rFonts w:cs="Arial"/>
                <w:sz w:val="16"/>
                <w:szCs w:val="16"/>
              </w:rPr>
              <w:t xml:space="preserve">ión para la alta dirección </w:t>
            </w:r>
            <w:r w:rsidR="008E3955">
              <w:rPr>
                <w:rFonts w:cs="Arial"/>
                <w:sz w:val="16"/>
                <w:szCs w:val="16"/>
              </w:rPr>
              <w:t xml:space="preserve">y en el Plan de mantenimiento y mejoramiento </w:t>
            </w:r>
            <w:r w:rsidR="005E565C">
              <w:rPr>
                <w:rFonts w:cs="Arial"/>
                <w:sz w:val="16"/>
                <w:szCs w:val="16"/>
              </w:rPr>
              <w:t>del SIGCMA de la seccional.</w:t>
            </w:r>
            <w:r w:rsidR="00724854">
              <w:rPr>
                <w:rFonts w:cs="Arial"/>
                <w:sz w:val="16"/>
                <w:szCs w:val="16"/>
              </w:rPr>
              <w:t>(febrero 16 del 2018)</w:t>
            </w:r>
          </w:p>
          <w:p w:rsidR="007872BD" w:rsidRDefault="007872BD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del V Conversatorio Nacional SIGCMA donde se dará énfasis en el despliegue de objetivos y en el direccionamiento estratégico de la organización teniendo en cuenta (Plan Sectorial de Desarrollo e informe de revisión para la alta dirección y en el Plan de mantenimiento y mejoramiento del SIGCMA de nivel central y seccional)</w:t>
            </w:r>
            <w:r w:rsidR="0060114C">
              <w:rPr>
                <w:rFonts w:cs="Arial"/>
                <w:sz w:val="16"/>
                <w:szCs w:val="16"/>
              </w:rPr>
              <w:t xml:space="preserve"> tanto en la parte administrativa y judicial</w:t>
            </w:r>
            <w:r>
              <w:rPr>
                <w:rFonts w:cs="Arial"/>
                <w:sz w:val="16"/>
                <w:szCs w:val="16"/>
              </w:rPr>
              <w:t xml:space="preserve"> (noviembre 20 y 21 del 2017</w:t>
            </w:r>
            <w:r w:rsidR="0060114C">
              <w:rPr>
                <w:rFonts w:cs="Arial"/>
                <w:sz w:val="16"/>
                <w:szCs w:val="16"/>
              </w:rPr>
              <w:t>)</w:t>
            </w:r>
          </w:p>
          <w:p w:rsidR="008E7475" w:rsidRDefault="008E7475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Articular los objetivos del plan sectorial de desarrollo con los objetivos de calidad y validar la pertinencia de los indicadores actuales</w:t>
            </w:r>
            <w:r w:rsidR="004C298B">
              <w:rPr>
                <w:rFonts w:cs="Arial"/>
                <w:sz w:val="16"/>
                <w:szCs w:val="16"/>
              </w:rPr>
              <w:t xml:space="preserve"> (abril 27 del 2018).</w:t>
            </w:r>
          </w:p>
          <w:p w:rsidR="004C298B" w:rsidRDefault="004C298B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Divulgación de la actualización del despliegue de objetivos de la organización a todos los servidores judiciales por medio del aula virtual.(mayo 18 del 2018)</w:t>
            </w:r>
          </w:p>
          <w:p w:rsidR="005E565C" w:rsidRPr="00503DF9" w:rsidRDefault="005E565C" w:rsidP="000530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03DF9">
              <w:rPr>
                <w:rFonts w:cs="Arial"/>
                <w:sz w:val="16"/>
                <w:szCs w:val="16"/>
              </w:rPr>
              <w:t>Evaluar la eficaci</w:t>
            </w:r>
            <w:r w:rsidR="004C298B">
              <w:rPr>
                <w:rFonts w:cs="Arial"/>
                <w:sz w:val="16"/>
                <w:szCs w:val="16"/>
              </w:rPr>
              <w:t>a de la acción tomada (junio 8</w:t>
            </w:r>
            <w:r w:rsidRPr="00503DF9">
              <w:rPr>
                <w:rFonts w:cs="Arial"/>
                <w:sz w:val="16"/>
                <w:szCs w:val="16"/>
              </w:rPr>
              <w:t xml:space="preserve"> de 2017)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E565C" w:rsidRPr="00322C9D" w:rsidRDefault="005E565C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B04983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B04983" w:rsidRPr="00CD45F5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CD45F5">
              <w:rPr>
                <w:rFonts w:cs="Arial"/>
                <w:sz w:val="16"/>
                <w:szCs w:val="16"/>
              </w:rPr>
              <w:t xml:space="preserve">En la revisión por la dirección no se incluyen todas las consideraciones requeridas.  </w:t>
            </w:r>
          </w:p>
          <w:p w:rsidR="00B04983" w:rsidRPr="00CD45F5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CD45F5">
              <w:rPr>
                <w:rFonts w:cs="Arial"/>
                <w:sz w:val="16"/>
                <w:szCs w:val="16"/>
              </w:rPr>
              <w:t xml:space="preserve"> </w:t>
            </w:r>
          </w:p>
          <w:p w:rsidR="00B04983" w:rsidRPr="00CD45F5" w:rsidRDefault="00B04983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D45F5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B04983" w:rsidRPr="00CD45F5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CD45F5">
              <w:rPr>
                <w:rFonts w:cs="Arial"/>
                <w:sz w:val="16"/>
                <w:szCs w:val="16"/>
              </w:rPr>
              <w:t xml:space="preserve">En los registros de la última revisión por la dirección realizada en enero de 2017 no se incluyeron consideraciones sobre las tendencias relativas al desempeño de los proveedores externos y la adecuación de los recursos. </w:t>
            </w:r>
          </w:p>
          <w:p w:rsidR="00B04983" w:rsidRPr="00A92AC7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CD45F5">
              <w:rPr>
                <w:rFonts w:cs="Arial"/>
                <w:b/>
                <w:sz w:val="16"/>
                <w:szCs w:val="16"/>
              </w:rPr>
              <w:t>SPA Bucaramanga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B04983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B04983" w:rsidRPr="00CD45F5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CD45F5">
              <w:rPr>
                <w:rFonts w:cs="Arial"/>
                <w:sz w:val="16"/>
                <w:szCs w:val="16"/>
              </w:rPr>
              <w:t>9.3.2</w:t>
            </w:r>
            <w:r>
              <w:rPr>
                <w:rFonts w:cs="Arial"/>
                <w:sz w:val="16"/>
                <w:szCs w:val="16"/>
              </w:rPr>
              <w:t xml:space="preserve">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4983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Incluir en el informe de revisión para la alta dirección del 2017 las tendencias</w:t>
            </w:r>
            <w:r w:rsidRPr="00CD45F5">
              <w:rPr>
                <w:rFonts w:cs="Arial"/>
                <w:sz w:val="16"/>
                <w:szCs w:val="16"/>
              </w:rPr>
              <w:t xml:space="preserve"> relativas al desempeño de los proveedores externos y la adecuación de los recursos. </w:t>
            </w:r>
          </w:p>
          <w:p w:rsidR="00B04983" w:rsidRPr="00CD45F5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(diciembre 29 del 2017)</w:t>
            </w:r>
          </w:p>
          <w:p w:rsidR="00B04983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4983" w:rsidRDefault="00B04983" w:rsidP="000530F9">
            <w:pPr>
              <w:pStyle w:val="Prrafodelista"/>
              <w:numPr>
                <w:ilvl w:val="0"/>
                <w:numId w:val="34"/>
              </w:numPr>
              <w:jc w:val="both"/>
              <w:rPr>
                <w:rFonts w:cs="Arial"/>
                <w:sz w:val="16"/>
                <w:szCs w:val="16"/>
              </w:rPr>
            </w:pPr>
            <w:r w:rsidRPr="00B04983">
              <w:rPr>
                <w:rFonts w:cs="Arial"/>
                <w:sz w:val="16"/>
                <w:szCs w:val="16"/>
              </w:rPr>
              <w:t xml:space="preserve">Desconocimiento de la realización </w:t>
            </w:r>
            <w:r>
              <w:rPr>
                <w:rFonts w:cs="Arial"/>
                <w:sz w:val="16"/>
                <w:szCs w:val="16"/>
              </w:rPr>
              <w:t>tendencias</w:t>
            </w:r>
            <w:r w:rsidRPr="00CD45F5">
              <w:rPr>
                <w:rFonts w:cs="Arial"/>
                <w:sz w:val="16"/>
                <w:szCs w:val="16"/>
              </w:rPr>
              <w:t xml:space="preserve"> relativas al desempeño de los proveedores externos y la adecuación de los recursos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B04983" w:rsidRPr="00B04983" w:rsidRDefault="00B04983" w:rsidP="000530F9">
            <w:pPr>
              <w:pStyle w:val="Prrafodelista"/>
              <w:numPr>
                <w:ilvl w:val="0"/>
                <w:numId w:val="34"/>
              </w:numPr>
              <w:jc w:val="both"/>
              <w:rPr>
                <w:rFonts w:cs="Arial"/>
                <w:sz w:val="16"/>
                <w:szCs w:val="16"/>
              </w:rPr>
            </w:pPr>
            <w:r w:rsidRPr="00B04983">
              <w:rPr>
                <w:rFonts w:cs="Arial"/>
                <w:sz w:val="16"/>
                <w:szCs w:val="16"/>
              </w:rPr>
              <w:t>Falta de estandarización del informe de revisión de la alta dirección a nivel nacional.</w:t>
            </w:r>
          </w:p>
          <w:p w:rsidR="00B04983" w:rsidRPr="00B04983" w:rsidRDefault="00B04983" w:rsidP="00F52E6E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04983" w:rsidRDefault="00B04983" w:rsidP="009216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16"/>
                <w:szCs w:val="16"/>
              </w:rPr>
            </w:pPr>
            <w:r w:rsidRPr="00F264A2">
              <w:rPr>
                <w:rFonts w:cs="Arial"/>
                <w:sz w:val="16"/>
                <w:szCs w:val="16"/>
              </w:rPr>
              <w:t>Diseño del formato de informe de revisión para la alta dirección con la estructura de las entradas y salidas de la revisión por la dirección estandarizada a nivel nacional (Noviembre 17 del 2017).</w:t>
            </w:r>
          </w:p>
          <w:p w:rsidR="0092166C" w:rsidRPr="00F264A2" w:rsidRDefault="0092166C" w:rsidP="009216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Realización del V Conversatorio Nacional SIGCMA donde se dará énfasis en la estructura </w:t>
            </w:r>
            <w:r w:rsidRPr="00F264A2">
              <w:rPr>
                <w:rFonts w:cs="Arial"/>
                <w:sz w:val="16"/>
                <w:szCs w:val="16"/>
              </w:rPr>
              <w:t xml:space="preserve"> de las entradas y salidas de la revisión por la dirección </w:t>
            </w:r>
            <w:r>
              <w:rPr>
                <w:rFonts w:cs="Arial"/>
                <w:sz w:val="16"/>
                <w:szCs w:val="16"/>
              </w:rPr>
              <w:t xml:space="preserve">y del </w:t>
            </w:r>
            <w:r w:rsidRPr="00F264A2">
              <w:rPr>
                <w:rFonts w:cs="Arial"/>
                <w:sz w:val="16"/>
                <w:szCs w:val="16"/>
              </w:rPr>
              <w:t>informe de revisión para la alta dirección</w:t>
            </w:r>
            <w:r>
              <w:rPr>
                <w:rFonts w:cs="Arial"/>
                <w:sz w:val="16"/>
                <w:szCs w:val="16"/>
              </w:rPr>
              <w:t xml:space="preserve">, tanto administrativo como judicial y presentación del formato </w:t>
            </w:r>
            <w:r w:rsidRPr="00F264A2">
              <w:rPr>
                <w:rFonts w:cs="Arial"/>
                <w:sz w:val="16"/>
                <w:szCs w:val="16"/>
              </w:rPr>
              <w:t xml:space="preserve"> informe de revisión para la alta dirección </w:t>
            </w:r>
            <w:r>
              <w:rPr>
                <w:rFonts w:cs="Arial"/>
                <w:sz w:val="16"/>
                <w:szCs w:val="16"/>
              </w:rPr>
              <w:t xml:space="preserve"> (Noviembre 20 y 21 del 2017).</w:t>
            </w:r>
          </w:p>
          <w:p w:rsidR="00B04983" w:rsidRPr="00F264A2" w:rsidRDefault="00B04983" w:rsidP="009216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Aprobación 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>
              <w:rPr>
                <w:rFonts w:cs="Arial"/>
                <w:sz w:val="16"/>
                <w:szCs w:val="16"/>
              </w:rPr>
              <w:t xml:space="preserve"> por parte del Comité de Calidad</w:t>
            </w:r>
            <w:r w:rsidR="00A6749E">
              <w:rPr>
                <w:rFonts w:cs="Arial"/>
                <w:sz w:val="16"/>
                <w:szCs w:val="16"/>
              </w:rPr>
              <w:t xml:space="preserve"> (enero</w:t>
            </w:r>
            <w:r w:rsidR="00A6749E" w:rsidRPr="00A6749E">
              <w:rPr>
                <w:rFonts w:cs="Arial"/>
                <w:color w:val="000000" w:themeColor="text1"/>
                <w:sz w:val="16"/>
                <w:szCs w:val="16"/>
              </w:rPr>
              <w:t xml:space="preserve"> 31</w:t>
            </w:r>
            <w:r w:rsidR="00671250">
              <w:rPr>
                <w:rFonts w:cs="Arial"/>
                <w:color w:val="000000" w:themeColor="text1"/>
                <w:sz w:val="16"/>
                <w:szCs w:val="16"/>
              </w:rPr>
              <w:t xml:space="preserve"> del 2018</w:t>
            </w:r>
            <w:r w:rsidRPr="00A6749E">
              <w:rPr>
                <w:rFonts w:cs="Arial"/>
                <w:color w:val="000000" w:themeColor="text1"/>
                <w:sz w:val="16"/>
                <w:szCs w:val="16"/>
              </w:rPr>
              <w:t>).</w:t>
            </w:r>
          </w:p>
          <w:p w:rsidR="00B04983" w:rsidRPr="00A926E6" w:rsidRDefault="00B04983" w:rsidP="009216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264A2">
              <w:rPr>
                <w:rFonts w:cs="Arial"/>
                <w:color w:val="000000" w:themeColor="text1"/>
                <w:sz w:val="16"/>
                <w:szCs w:val="16"/>
              </w:rPr>
              <w:t xml:space="preserve">Divulgación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a nivel nacional.</w:t>
            </w:r>
            <w:r w:rsidRPr="00F264A2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A6749E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r w:rsidR="00A6749E" w:rsidRPr="00A6749E">
              <w:rPr>
                <w:rFonts w:cs="Arial"/>
                <w:color w:val="000000" w:themeColor="text1"/>
                <w:sz w:val="16"/>
                <w:szCs w:val="16"/>
              </w:rPr>
              <w:t>febrero 9</w:t>
            </w:r>
            <w:r w:rsidR="00671250">
              <w:rPr>
                <w:rFonts w:cs="Arial"/>
                <w:color w:val="000000" w:themeColor="text1"/>
                <w:sz w:val="16"/>
                <w:szCs w:val="16"/>
              </w:rPr>
              <w:t xml:space="preserve"> del 2018</w:t>
            </w:r>
            <w:r w:rsidRPr="00A6749E">
              <w:rPr>
                <w:rFonts w:cs="Arial"/>
                <w:color w:val="000000" w:themeColor="text1"/>
                <w:sz w:val="16"/>
                <w:szCs w:val="16"/>
              </w:rPr>
              <w:t>).</w:t>
            </w:r>
          </w:p>
          <w:p w:rsidR="00B04983" w:rsidRPr="00D80E6F" w:rsidRDefault="00B04983" w:rsidP="009216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4040A">
              <w:rPr>
                <w:rFonts w:cs="Arial"/>
                <w:sz w:val="16"/>
                <w:szCs w:val="16"/>
              </w:rPr>
              <w:t>Evaluar l</w:t>
            </w:r>
            <w:r>
              <w:rPr>
                <w:rFonts w:cs="Arial"/>
                <w:sz w:val="16"/>
                <w:szCs w:val="16"/>
              </w:rPr>
              <w:t>a efica</w:t>
            </w:r>
            <w:r w:rsidR="00A6749E">
              <w:rPr>
                <w:rFonts w:cs="Arial"/>
                <w:sz w:val="16"/>
                <w:szCs w:val="16"/>
              </w:rPr>
              <w:t>cia de la acción tomada</w:t>
            </w:r>
            <w:r w:rsidR="003435E0">
              <w:rPr>
                <w:rFonts w:cs="Arial"/>
                <w:sz w:val="16"/>
                <w:szCs w:val="16"/>
              </w:rPr>
              <w:t xml:space="preserve"> por medio del informe de revisión por la dirección</w:t>
            </w:r>
            <w:r w:rsidR="00A6749E">
              <w:rPr>
                <w:rFonts w:cs="Arial"/>
                <w:sz w:val="16"/>
                <w:szCs w:val="16"/>
              </w:rPr>
              <w:t>(febrero 22</w:t>
            </w:r>
            <w:r w:rsidRPr="00F4040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 2018)</w:t>
            </w:r>
          </w:p>
          <w:p w:rsidR="00B04983" w:rsidRPr="00F264A2" w:rsidRDefault="00B04983" w:rsidP="00F52E6E">
            <w:pPr>
              <w:ind w:left="-360"/>
              <w:jc w:val="both"/>
              <w:rPr>
                <w:rFonts w:cs="Arial"/>
                <w:sz w:val="16"/>
                <w:szCs w:val="16"/>
              </w:rPr>
            </w:pPr>
          </w:p>
          <w:p w:rsidR="00B04983" w:rsidRPr="00B04983" w:rsidRDefault="00B04983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Pr="001456D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1456D7">
              <w:rPr>
                <w:rFonts w:cs="Arial"/>
                <w:sz w:val="16"/>
                <w:szCs w:val="16"/>
              </w:rPr>
              <w:t>La organización no cuenta con los controles para el almacenam</w:t>
            </w:r>
            <w:r w:rsidR="00127E84">
              <w:rPr>
                <w:rFonts w:cs="Arial"/>
                <w:sz w:val="16"/>
                <w:szCs w:val="16"/>
              </w:rPr>
              <w:t>iento y la preservación de la</w:t>
            </w:r>
            <w:r w:rsidRPr="001456D7">
              <w:rPr>
                <w:rFonts w:cs="Arial"/>
                <w:sz w:val="16"/>
                <w:szCs w:val="16"/>
              </w:rPr>
              <w:t xml:space="preserve"> información documentada que se requiere conservar.</w:t>
            </w:r>
          </w:p>
          <w:p w:rsidR="001456D7" w:rsidRPr="001456D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456D7" w:rsidRPr="001456D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1456D7" w:rsidRPr="005C0101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Evidencia:</w:t>
            </w:r>
          </w:p>
          <w:p w:rsidR="001456D7" w:rsidRPr="001456D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1456D7">
              <w:rPr>
                <w:rFonts w:cs="Arial"/>
                <w:sz w:val="16"/>
                <w:szCs w:val="16"/>
              </w:rPr>
              <w:t xml:space="preserve">No se cuenta con controles tales como de temperatura, humedad, sensores de humos, para asegurar la preservación de los expedientes en el Archivo de Penas.   </w:t>
            </w:r>
          </w:p>
          <w:p w:rsidR="001456D7" w:rsidRPr="00A92AC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SPA Bucaramanga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92AC7" w:rsidRPr="00A92AC7" w:rsidRDefault="001456D7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  <w:r w:rsidRPr="00F1582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3.2   y 7.5.5 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7BE2" w:rsidRDefault="00A77BE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77BE2" w:rsidRDefault="00A77BE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92AC7" w:rsidRDefault="004A398B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Por parte de la Direccion Seccional de Bucaramanga se emitirá una comunicación a la </w:t>
            </w:r>
            <w:r w:rsidR="00C76860">
              <w:rPr>
                <w:rFonts w:cs="Arial"/>
                <w:sz w:val="16"/>
                <w:szCs w:val="16"/>
              </w:rPr>
              <w:t>Dirección</w:t>
            </w:r>
            <w:r>
              <w:rPr>
                <w:rFonts w:cs="Arial"/>
                <w:sz w:val="16"/>
                <w:szCs w:val="16"/>
              </w:rPr>
              <w:t xml:space="preserve"> Ejecutiva de Administración Judicial donde se informe la necesidad de verificar y mejorar la infraestructura</w:t>
            </w:r>
            <w:r w:rsidR="00C76860">
              <w:rPr>
                <w:rFonts w:cs="Arial"/>
                <w:sz w:val="16"/>
                <w:szCs w:val="16"/>
              </w:rPr>
              <w:t xml:space="preserve"> física</w:t>
            </w:r>
            <w:r>
              <w:rPr>
                <w:rFonts w:cs="Arial"/>
                <w:sz w:val="16"/>
                <w:szCs w:val="16"/>
              </w:rPr>
              <w:t xml:space="preserve"> para preservar los </w:t>
            </w:r>
            <w:r w:rsidR="00C76860" w:rsidRPr="001456D7">
              <w:rPr>
                <w:rFonts w:cs="Arial"/>
                <w:sz w:val="16"/>
                <w:szCs w:val="16"/>
              </w:rPr>
              <w:t>expedientes en el Archivo de Penas</w:t>
            </w:r>
            <w:r w:rsidR="00C76860">
              <w:rPr>
                <w:rFonts w:cs="Arial"/>
                <w:sz w:val="16"/>
                <w:szCs w:val="16"/>
              </w:rPr>
              <w:t>.</w:t>
            </w:r>
          </w:p>
          <w:p w:rsidR="003250FF" w:rsidRPr="003250FF" w:rsidRDefault="0098305E" w:rsidP="003250FF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98305E">
              <w:rPr>
                <w:rFonts w:cs="Arial"/>
                <w:color w:val="000000" w:themeColor="text1"/>
                <w:sz w:val="16"/>
                <w:szCs w:val="16"/>
              </w:rPr>
              <w:t>(noviembre 30 del 2017)</w:t>
            </w:r>
          </w:p>
          <w:p w:rsidR="003250FF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250FF" w:rsidRPr="00A77BE2" w:rsidRDefault="003250FF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77BE2" w:rsidRPr="005C0101" w:rsidRDefault="00A77BE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77BE2" w:rsidRPr="005C0101" w:rsidRDefault="00A77BE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77BE2" w:rsidRPr="005C0101" w:rsidRDefault="00A77BE2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77BE2" w:rsidRPr="005C0101" w:rsidRDefault="00A74263" w:rsidP="000530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Falta de recurso para la administración judicial.</w:t>
            </w:r>
          </w:p>
          <w:p w:rsidR="00A74263" w:rsidRPr="005C0101" w:rsidRDefault="00A74263" w:rsidP="000530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Falta de espacios físicos y adecuado  para preservar la información documentada del Sistema Penal Acusatorio</w:t>
            </w:r>
          </w:p>
          <w:p w:rsidR="00A92AC7" w:rsidRPr="005C0101" w:rsidRDefault="00A92AC7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56D7" w:rsidRDefault="001456D7" w:rsidP="000530F9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sz w:val="16"/>
                <w:szCs w:val="16"/>
              </w:rPr>
            </w:pPr>
            <w:r w:rsidRPr="00126152">
              <w:rPr>
                <w:rFonts w:cs="Arial"/>
                <w:sz w:val="16"/>
                <w:szCs w:val="16"/>
              </w:rPr>
              <w:t>Realizar un estudio técnico por parte de la Unidad de Infraestructura Física</w:t>
            </w:r>
            <w:r w:rsidR="0055579D">
              <w:rPr>
                <w:rFonts w:cs="Arial"/>
                <w:sz w:val="16"/>
                <w:szCs w:val="16"/>
              </w:rPr>
              <w:t xml:space="preserve"> nivel central</w:t>
            </w:r>
            <w:r w:rsidRPr="00126152">
              <w:rPr>
                <w:rFonts w:cs="Arial"/>
                <w:sz w:val="16"/>
                <w:szCs w:val="16"/>
              </w:rPr>
              <w:t xml:space="preserve">, respecto a las necesidades de espacios o locaciones destinadas para los archivos de la institución. </w:t>
            </w:r>
            <w:r w:rsidR="00AE24ED">
              <w:rPr>
                <w:rFonts w:cs="Arial"/>
                <w:sz w:val="16"/>
                <w:szCs w:val="16"/>
              </w:rPr>
              <w:t>(junio 6 del 2018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1456D7" w:rsidRDefault="001456D7" w:rsidP="000530F9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sz w:val="16"/>
                <w:szCs w:val="16"/>
              </w:rPr>
            </w:pPr>
            <w:r w:rsidRPr="008926D5">
              <w:rPr>
                <w:rFonts w:cs="Arial"/>
                <w:sz w:val="16"/>
                <w:szCs w:val="16"/>
              </w:rPr>
              <w:t>Elaborar un plan que tenga por objeto definir la construcción o adecuación de espacio físicos destinados para el archivo (junio 15 del 2018).</w:t>
            </w:r>
          </w:p>
          <w:p w:rsidR="001456D7" w:rsidRPr="008926D5" w:rsidRDefault="001456D7" w:rsidP="000530F9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  <w:sz w:val="16"/>
                <w:szCs w:val="16"/>
              </w:rPr>
            </w:pPr>
            <w:r w:rsidRPr="008926D5">
              <w:rPr>
                <w:rFonts w:cs="Arial"/>
                <w:sz w:val="16"/>
                <w:szCs w:val="16"/>
              </w:rPr>
              <w:t>Evaluar la eficacia de la acción tomada (</w:t>
            </w:r>
            <w:r>
              <w:rPr>
                <w:rFonts w:cs="Arial"/>
                <w:sz w:val="16"/>
                <w:szCs w:val="16"/>
              </w:rPr>
              <w:t>agosto 02</w:t>
            </w:r>
            <w:r w:rsidRPr="00322C9D">
              <w:rPr>
                <w:rFonts w:cs="Arial"/>
                <w:sz w:val="16"/>
                <w:szCs w:val="16"/>
              </w:rPr>
              <w:t xml:space="preserve"> de 201</w:t>
            </w:r>
            <w:r>
              <w:rPr>
                <w:rFonts w:cs="Arial"/>
                <w:sz w:val="16"/>
                <w:szCs w:val="16"/>
              </w:rPr>
              <w:t>8)</w:t>
            </w:r>
          </w:p>
          <w:p w:rsidR="00A92AC7" w:rsidRPr="001456D7" w:rsidRDefault="00A92AC7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F354A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2580" w:rsidRPr="002D2580" w:rsidRDefault="002D2580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2D2580">
              <w:rPr>
                <w:rFonts w:cs="Arial"/>
                <w:sz w:val="16"/>
                <w:szCs w:val="16"/>
              </w:rPr>
              <w:t xml:space="preserve">No se puede garantizar la preservación de los expedientes en estado inactivo (archivo), para los juzgados </w:t>
            </w:r>
            <w:r w:rsidRPr="002D2580">
              <w:rPr>
                <w:rFonts w:cs="Arial"/>
                <w:sz w:val="16"/>
                <w:szCs w:val="16"/>
              </w:rPr>
              <w:lastRenderedPageBreak/>
              <w:t>contenciosos administrativos ubicados en la ciudad de Ibagué.</w:t>
            </w:r>
          </w:p>
          <w:p w:rsidR="002D2580" w:rsidRPr="002D2580" w:rsidRDefault="002D2580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D2580" w:rsidRPr="005C0101" w:rsidRDefault="002D2580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Evidencia:</w:t>
            </w:r>
          </w:p>
          <w:p w:rsidR="002D2580" w:rsidRPr="002D2580" w:rsidRDefault="002D2580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D2580" w:rsidRPr="002D2580" w:rsidRDefault="002D2580" w:rsidP="000530F9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2D2580">
              <w:rPr>
                <w:rFonts w:cs="Arial"/>
                <w:sz w:val="16"/>
                <w:szCs w:val="16"/>
              </w:rPr>
              <w:t>Los extintores (dos unidades) disponibles en el archivo, en el momento de la auditoria se encontraron descargados (evidencia: Indicación del manómetro del extintor).</w:t>
            </w:r>
          </w:p>
          <w:p w:rsidR="002D2580" w:rsidRPr="002D2580" w:rsidRDefault="002D2580" w:rsidP="000530F9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2D2580">
              <w:rPr>
                <w:rFonts w:cs="Arial"/>
                <w:sz w:val="16"/>
                <w:szCs w:val="16"/>
              </w:rPr>
              <w:t>Se evidenciaron expedientes sin cajas ni control documental para algunos registros (expediente) almacenado en el archivo.</w:t>
            </w:r>
          </w:p>
          <w:p w:rsidR="002D2580" w:rsidRPr="002D2580" w:rsidRDefault="002D2580" w:rsidP="000530F9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2D2580">
              <w:rPr>
                <w:rFonts w:cs="Arial"/>
                <w:sz w:val="16"/>
                <w:szCs w:val="16"/>
              </w:rPr>
              <w:t>Se evidencian condiciones de riesgo eléctrico al interior del Archivo, debido a la cercanía de los documentos con sistema de iluminación ubicado en el techo.</w:t>
            </w:r>
          </w:p>
          <w:p w:rsidR="002D2580" w:rsidRPr="005C0101" w:rsidRDefault="002D2580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15824" w:rsidRPr="00A92AC7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15824" w:rsidRDefault="00DC0102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15824" w:rsidRPr="00A92AC7" w:rsidRDefault="00DC0102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  <w:r w:rsidRPr="00F15824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   y 8.5.4 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5824" w:rsidRPr="005C0101" w:rsidRDefault="005429DF" w:rsidP="000530F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Recargar </w:t>
            </w:r>
            <w:r w:rsidRPr="005429DF">
              <w:rPr>
                <w:rFonts w:cs="Arial"/>
                <w:sz w:val="16"/>
                <w:szCs w:val="16"/>
              </w:rPr>
              <w:t>los extintores por parte de la Seccional Ibague.</w:t>
            </w:r>
            <w:r w:rsidR="004758FD">
              <w:rPr>
                <w:rFonts w:cs="Arial"/>
                <w:sz w:val="16"/>
                <w:szCs w:val="16"/>
              </w:rPr>
              <w:t>(</w:t>
            </w:r>
            <w:r w:rsidR="001500DA" w:rsidRPr="005C0101">
              <w:rPr>
                <w:rFonts w:cs="Arial"/>
                <w:sz w:val="16"/>
                <w:szCs w:val="16"/>
              </w:rPr>
              <w:t>noviembre 30 del 2017)</w:t>
            </w:r>
          </w:p>
          <w:p w:rsidR="005429DF" w:rsidRPr="005C0101" w:rsidRDefault="005429DF" w:rsidP="000530F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lastRenderedPageBreak/>
              <w:t>Realizar la organización del archivo de los juzgados contencioso administrativos.</w:t>
            </w:r>
            <w:r w:rsidR="004758FD" w:rsidRPr="005C0101">
              <w:rPr>
                <w:rFonts w:cs="Arial"/>
                <w:sz w:val="16"/>
                <w:szCs w:val="16"/>
              </w:rPr>
              <w:t xml:space="preserve"> (</w:t>
            </w:r>
            <w:r w:rsidR="001500DA" w:rsidRPr="005C0101">
              <w:rPr>
                <w:rFonts w:cs="Arial"/>
                <w:sz w:val="16"/>
                <w:szCs w:val="16"/>
              </w:rPr>
              <w:t>agosto 31 del 2018)</w:t>
            </w:r>
          </w:p>
          <w:p w:rsidR="005429DF" w:rsidRDefault="005429DF" w:rsidP="000530F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Realizar cambio del sistema de iluminación.</w:t>
            </w:r>
            <w:r w:rsidR="004758FD" w:rsidRPr="005C0101">
              <w:rPr>
                <w:rFonts w:cs="Arial"/>
                <w:sz w:val="16"/>
                <w:szCs w:val="16"/>
              </w:rPr>
              <w:t xml:space="preserve"> </w:t>
            </w:r>
            <w:r w:rsidR="001500DA" w:rsidRPr="005C0101">
              <w:rPr>
                <w:rFonts w:cs="Arial"/>
                <w:sz w:val="16"/>
                <w:szCs w:val="16"/>
              </w:rPr>
              <w:t xml:space="preserve"> (agosto 31 del 2018)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5824" w:rsidRDefault="005429DF" w:rsidP="000530F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Falta de seguimien</w:t>
            </w:r>
            <w:r w:rsidR="00A42DF9">
              <w:rPr>
                <w:rFonts w:cs="Arial"/>
                <w:sz w:val="16"/>
                <w:szCs w:val="16"/>
              </w:rPr>
              <w:t>to al vencimiento de la carga de los extintores.</w:t>
            </w:r>
          </w:p>
          <w:p w:rsidR="00A42DF9" w:rsidRDefault="00A42DF9" w:rsidP="000530F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Desconocimiento de las normas básicas de administración de archivo.</w:t>
            </w:r>
          </w:p>
          <w:p w:rsidR="00A42DF9" w:rsidRDefault="00A42DF9" w:rsidP="000530F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infraestructura adecuada del sistema eléctrico al interior del archivo.</w:t>
            </w:r>
          </w:p>
          <w:p w:rsidR="00A42DF9" w:rsidRPr="00AA106C" w:rsidRDefault="00A42DF9" w:rsidP="000530F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identificación y tratamiento del riesgo.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15824" w:rsidRDefault="00F1582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Default="00271F3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Default="00271F3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Default="00271F3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Default="00271F3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Default="00271F39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271F39" w:rsidRPr="00271F39" w:rsidRDefault="00271F39" w:rsidP="000530F9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="Arial"/>
                <w:sz w:val="16"/>
                <w:szCs w:val="16"/>
              </w:rPr>
            </w:pPr>
            <w:r w:rsidRPr="00271F39">
              <w:rPr>
                <w:rFonts w:cs="Arial"/>
                <w:sz w:val="16"/>
                <w:szCs w:val="16"/>
              </w:rPr>
              <w:t>Seguimiento por parte de la seccional del vencimiento de extintores.</w:t>
            </w:r>
            <w:r w:rsidR="004758FD">
              <w:rPr>
                <w:rFonts w:cs="Arial"/>
                <w:sz w:val="16"/>
                <w:szCs w:val="16"/>
              </w:rPr>
              <w:t>(octubre 17 del 2017)</w:t>
            </w:r>
          </w:p>
          <w:p w:rsidR="00271F39" w:rsidRDefault="00271F39" w:rsidP="000530F9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Capacitación de las TRD, </w:t>
            </w:r>
            <w:r w:rsidRPr="002A39AE">
              <w:rPr>
                <w:rFonts w:cs="Arial"/>
                <w:sz w:val="16"/>
                <w:szCs w:val="16"/>
              </w:rPr>
              <w:t>manejo de archivo y sigobuis</w:t>
            </w:r>
            <w:r>
              <w:rPr>
                <w:rFonts w:cs="Arial"/>
                <w:sz w:val="16"/>
                <w:szCs w:val="16"/>
              </w:rPr>
              <w:t>.(junio 15 del 2018)</w:t>
            </w:r>
          </w:p>
          <w:p w:rsidR="00656D80" w:rsidRDefault="00656D80" w:rsidP="000530F9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="Arial"/>
                <w:sz w:val="16"/>
                <w:szCs w:val="16"/>
              </w:rPr>
            </w:pPr>
            <w:r w:rsidRPr="00126152">
              <w:rPr>
                <w:rFonts w:cs="Arial"/>
                <w:sz w:val="16"/>
                <w:szCs w:val="16"/>
              </w:rPr>
              <w:t xml:space="preserve">Realizar un estudio técnico por parte de la Unidad de Infraestructura Física, respecto a las necesidades de espacios o locaciones destinadas para los archivos de la institución. </w:t>
            </w:r>
            <w:r w:rsidR="001500DA">
              <w:rPr>
                <w:rFonts w:cs="Arial"/>
                <w:sz w:val="16"/>
                <w:szCs w:val="16"/>
              </w:rPr>
              <w:t>(junio 6 del 2018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:rsidR="00656D80" w:rsidRDefault="00656D80" w:rsidP="000530F9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="Arial"/>
                <w:sz w:val="16"/>
                <w:szCs w:val="16"/>
              </w:rPr>
            </w:pPr>
            <w:r w:rsidRPr="008926D5">
              <w:rPr>
                <w:rFonts w:cs="Arial"/>
                <w:sz w:val="16"/>
                <w:szCs w:val="16"/>
              </w:rPr>
              <w:t>Elaborar un plan que tenga por objeto definir la construcción o adecuación de espacio físicos destinados para el archivo (junio 15 del 2018).</w:t>
            </w:r>
          </w:p>
          <w:p w:rsidR="00271F39" w:rsidRPr="00271F39" w:rsidRDefault="00656D80" w:rsidP="000530F9">
            <w:pPr>
              <w:pStyle w:val="Prrafodelista"/>
              <w:numPr>
                <w:ilvl w:val="0"/>
                <w:numId w:val="4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Actualizar y ajustar el mapa de riesgos de los juzgados administrativos de Ibague incluyendo el riesgo de incendio en el proceso de Gestión Documental.</w:t>
            </w:r>
            <w:r w:rsidR="004758FD">
              <w:rPr>
                <w:rFonts w:cs="Arial"/>
                <w:sz w:val="16"/>
                <w:szCs w:val="16"/>
              </w:rPr>
              <w:t xml:space="preserve"> (febrero 8 del 2018)</w:t>
            </w:r>
          </w:p>
        </w:tc>
      </w:tr>
      <w:tr w:rsidR="00F52E6E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F5E6E" w:rsidRPr="00F52349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F52349">
              <w:rPr>
                <w:rFonts w:cs="Arial"/>
                <w:sz w:val="16"/>
                <w:szCs w:val="16"/>
              </w:rPr>
              <w:t>No se puede garantizar que la organización seleccione y administre las oportunidades de mejora e implemente las acciones necesarias para cumplir con los requisitos especificados.-Ibagué.</w:t>
            </w:r>
          </w:p>
          <w:p w:rsidR="00DF5E6E" w:rsidRPr="00F52349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5C0101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>Evidencia:</w:t>
            </w:r>
          </w:p>
          <w:p w:rsidR="00DF5E6E" w:rsidRPr="00F52349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F52349" w:rsidRDefault="00DF5E6E" w:rsidP="000530F9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52349">
              <w:rPr>
                <w:rFonts w:cs="Arial"/>
                <w:sz w:val="16"/>
                <w:szCs w:val="16"/>
              </w:rPr>
              <w:t>No de evidencian registros de las acciones de mejora generados en los procesos.</w:t>
            </w:r>
          </w:p>
          <w:p w:rsidR="00DF5E6E" w:rsidRPr="00F52349" w:rsidRDefault="00DF5E6E" w:rsidP="000530F9">
            <w:pPr>
              <w:pStyle w:val="Prrafodelista"/>
              <w:numPr>
                <w:ilvl w:val="0"/>
                <w:numId w:val="38"/>
              </w:num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52349">
              <w:rPr>
                <w:rFonts w:cs="Arial"/>
                <w:sz w:val="16"/>
                <w:szCs w:val="16"/>
              </w:rPr>
              <w:t>No se presenta la información analizada como entrada en el informe de revisión por la dirección.</w:t>
            </w:r>
          </w:p>
          <w:p w:rsidR="00DF5E6E" w:rsidRPr="00A92AC7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F5E6E" w:rsidRPr="00A92AC7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8.5.1  y 10.1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E6E" w:rsidRDefault="00DF5E6E" w:rsidP="00F52E6E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Evidenciar en el sistema de gestión de calidad las acciones de mejora realizada en los procesos. (noviembre 30 del 2017)</w:t>
            </w:r>
          </w:p>
          <w:p w:rsidR="00DF5E6E" w:rsidRDefault="00DF5E6E" w:rsidP="00F52E6E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F52E6E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F52E6E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Incluir el análisis en las entradas </w:t>
            </w:r>
            <w:r w:rsidRPr="00F52349">
              <w:rPr>
                <w:rFonts w:cs="Arial"/>
                <w:sz w:val="16"/>
                <w:szCs w:val="16"/>
              </w:rPr>
              <w:t>en el informe de revisión por la dirección.</w:t>
            </w:r>
            <w:r>
              <w:rPr>
                <w:rFonts w:cs="Arial"/>
                <w:sz w:val="16"/>
                <w:szCs w:val="16"/>
              </w:rPr>
              <w:t xml:space="preserve"> (noviembre 30 del 2017)</w:t>
            </w:r>
          </w:p>
          <w:p w:rsidR="00DF5E6E" w:rsidRPr="00F52349" w:rsidRDefault="00DF5E6E" w:rsidP="00F52E6E">
            <w:pPr>
              <w:pStyle w:val="Prrafodelista"/>
              <w:ind w:left="0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AA106C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E6E" w:rsidRP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0530F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Desconocimiento de la realización de las acciones de gestión.</w:t>
            </w:r>
          </w:p>
          <w:p w:rsidR="00DF5E6E" w:rsidRP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0530F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sz w:val="16"/>
                <w:szCs w:val="16"/>
              </w:rPr>
            </w:pPr>
            <w:r w:rsidRPr="00AE40CF">
              <w:rPr>
                <w:rFonts w:cs="Arial"/>
                <w:sz w:val="16"/>
                <w:szCs w:val="16"/>
              </w:rPr>
              <w:t xml:space="preserve">Desconocimiento de la realización del análisis </w:t>
            </w:r>
            <w:r>
              <w:rPr>
                <w:rFonts w:cs="Arial"/>
                <w:sz w:val="16"/>
                <w:szCs w:val="16"/>
              </w:rPr>
              <w:t xml:space="preserve">en las entradas </w:t>
            </w:r>
            <w:r w:rsidRPr="00F52349">
              <w:rPr>
                <w:rFonts w:cs="Arial"/>
                <w:sz w:val="16"/>
                <w:szCs w:val="16"/>
              </w:rPr>
              <w:t>en el informe de revisión por la dirección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DF5E6E" w:rsidRP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0530F9">
            <w:pPr>
              <w:pStyle w:val="Prrafodelista"/>
              <w:numPr>
                <w:ilvl w:val="0"/>
                <w:numId w:val="42"/>
              </w:numPr>
              <w:jc w:val="both"/>
              <w:rPr>
                <w:rFonts w:cs="Arial"/>
                <w:sz w:val="16"/>
                <w:szCs w:val="16"/>
              </w:rPr>
            </w:pPr>
            <w:r w:rsidRPr="00AE40CF">
              <w:rPr>
                <w:rFonts w:cs="Arial"/>
                <w:sz w:val="16"/>
                <w:szCs w:val="16"/>
              </w:rPr>
              <w:t>Falta de estandarización del informe de revisión de la alta dirección a nivel nacional.</w:t>
            </w:r>
          </w:p>
          <w:p w:rsidR="00DF5E6E" w:rsidRPr="00DF5E6E" w:rsidRDefault="00DF5E6E" w:rsidP="00F52E6E">
            <w:pPr>
              <w:pStyle w:val="Prrafodelista"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322C9D" w:rsidRDefault="00DF5E6E" w:rsidP="00F52E6E">
            <w:pPr>
              <w:pStyle w:val="Prrafodelista"/>
              <w:ind w:left="44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92166C" w:rsidRDefault="0092166C" w:rsidP="0092166C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Realizar capacitaciones en el tema de acciones de gestión por medio del Diplomado en HSEQ. (</w:t>
            </w:r>
            <w:r w:rsidR="00E93366">
              <w:rPr>
                <w:rFonts w:cs="Arial"/>
                <w:sz w:val="16"/>
                <w:szCs w:val="16"/>
              </w:rPr>
              <w:t>Abril 6 del 2018</w:t>
            </w:r>
            <w:r>
              <w:rPr>
                <w:rFonts w:cs="Arial"/>
                <w:sz w:val="16"/>
                <w:szCs w:val="16"/>
              </w:rPr>
              <w:t>).</w:t>
            </w:r>
          </w:p>
          <w:p w:rsidR="0092166C" w:rsidRPr="0092166C" w:rsidRDefault="0092166C" w:rsidP="0092166C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92166C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 w:rsidRPr="00F264A2">
              <w:rPr>
                <w:rFonts w:cs="Arial"/>
                <w:sz w:val="16"/>
                <w:szCs w:val="16"/>
              </w:rPr>
              <w:t>Diseño del formato de informe de revisión para la alta dirección con la estructura de las entradas y salidas de la revisión por la dirección e</w:t>
            </w:r>
            <w:r w:rsidR="00883EEA">
              <w:rPr>
                <w:rFonts w:cs="Arial"/>
                <w:sz w:val="16"/>
                <w:szCs w:val="16"/>
              </w:rPr>
              <w:t>standarizada a nivel nacional (n</w:t>
            </w:r>
            <w:r w:rsidRPr="00F264A2">
              <w:rPr>
                <w:rFonts w:cs="Arial"/>
                <w:sz w:val="16"/>
                <w:szCs w:val="16"/>
              </w:rPr>
              <w:t>oviembre 17 del 2017).</w:t>
            </w:r>
          </w:p>
          <w:p w:rsidR="0092166C" w:rsidRPr="0092166C" w:rsidRDefault="0092166C" w:rsidP="0092166C">
            <w:pPr>
              <w:pStyle w:val="Prrafodelista"/>
              <w:rPr>
                <w:rFonts w:cs="Arial"/>
                <w:sz w:val="16"/>
                <w:szCs w:val="16"/>
              </w:rPr>
            </w:pPr>
          </w:p>
          <w:p w:rsidR="00BF7DDE" w:rsidRPr="0092166C" w:rsidRDefault="0092166C" w:rsidP="00B52635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 w:rsidRPr="0092166C">
              <w:rPr>
                <w:rFonts w:cs="Arial"/>
                <w:sz w:val="16"/>
                <w:szCs w:val="16"/>
              </w:rPr>
              <w:t xml:space="preserve">Realización del V Conversatorio Nacional SIGCMA donde se dará énfasis en la estructura  de las entradas y salidas de la revisión por la dirección y del informe de revisión para la alta dirección, tanto administrativo como judicial y presentación del formato  informe de </w:t>
            </w:r>
            <w:r w:rsidRPr="0092166C">
              <w:rPr>
                <w:rFonts w:cs="Arial"/>
                <w:sz w:val="16"/>
                <w:szCs w:val="16"/>
              </w:rPr>
              <w:lastRenderedPageBreak/>
              <w:t>revisión para la alta dirección  (Noviembre 20 y 21 del 2017)</w:t>
            </w:r>
          </w:p>
          <w:p w:rsidR="00BF7DDE" w:rsidRPr="00F264A2" w:rsidRDefault="00BF7DDE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BF7DDE" w:rsidRDefault="00DF5E6E" w:rsidP="0092166C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Aprobación 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>
              <w:rPr>
                <w:rFonts w:cs="Arial"/>
                <w:sz w:val="16"/>
                <w:szCs w:val="16"/>
              </w:rPr>
              <w:t xml:space="preserve"> por parte del Comité de Calidad</w:t>
            </w:r>
            <w:r w:rsidR="00AE24ED">
              <w:rPr>
                <w:rFonts w:cs="Arial"/>
                <w:sz w:val="16"/>
                <w:szCs w:val="16"/>
              </w:rPr>
              <w:t xml:space="preserve"> (enero</w:t>
            </w:r>
            <w:r w:rsidR="00AE24ED" w:rsidRPr="005C0101">
              <w:rPr>
                <w:rFonts w:cs="Arial"/>
                <w:sz w:val="16"/>
                <w:szCs w:val="16"/>
              </w:rPr>
              <w:t xml:space="preserve"> 31 del 2018</w:t>
            </w:r>
            <w:r w:rsidRPr="005C0101">
              <w:rPr>
                <w:rFonts w:cs="Arial"/>
                <w:sz w:val="16"/>
                <w:szCs w:val="16"/>
              </w:rPr>
              <w:t>).</w:t>
            </w:r>
          </w:p>
          <w:p w:rsidR="00BF7DDE" w:rsidRPr="00F264A2" w:rsidRDefault="00BF7DDE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5C0101" w:rsidRDefault="00DF5E6E" w:rsidP="0092166C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 w:rsidRPr="005C0101">
              <w:rPr>
                <w:rFonts w:cs="Arial"/>
                <w:sz w:val="16"/>
                <w:szCs w:val="16"/>
              </w:rPr>
              <w:t xml:space="preserve">Divulgación del formato </w:t>
            </w:r>
            <w:r w:rsidRPr="00F264A2">
              <w:rPr>
                <w:rFonts w:cs="Arial"/>
                <w:sz w:val="16"/>
                <w:szCs w:val="16"/>
              </w:rPr>
              <w:t>de informe de revisión para la alta dirección</w:t>
            </w:r>
            <w:r w:rsidRPr="005C0101">
              <w:rPr>
                <w:rFonts w:cs="Arial"/>
                <w:sz w:val="16"/>
                <w:szCs w:val="16"/>
              </w:rPr>
              <w:t xml:space="preserve"> a nivel nacional. </w:t>
            </w:r>
            <w:r w:rsidR="00AE24ED" w:rsidRPr="005C0101">
              <w:rPr>
                <w:rFonts w:cs="Arial"/>
                <w:sz w:val="16"/>
                <w:szCs w:val="16"/>
              </w:rPr>
              <w:t>(febrero 9 del 2018</w:t>
            </w:r>
            <w:r w:rsidRPr="005C0101">
              <w:rPr>
                <w:rFonts w:cs="Arial"/>
                <w:sz w:val="16"/>
                <w:szCs w:val="16"/>
              </w:rPr>
              <w:t>).</w:t>
            </w:r>
          </w:p>
          <w:p w:rsidR="00BF7DDE" w:rsidRPr="005C0101" w:rsidRDefault="00BF7DDE" w:rsidP="00F52E6E">
            <w:pPr>
              <w:pStyle w:val="Prrafodelista"/>
              <w:jc w:val="both"/>
              <w:rPr>
                <w:rFonts w:cs="Arial"/>
                <w:sz w:val="16"/>
                <w:szCs w:val="16"/>
              </w:rPr>
            </w:pPr>
          </w:p>
          <w:p w:rsidR="00BF7DDE" w:rsidRPr="005C0101" w:rsidRDefault="00BF7DDE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5C0101" w:rsidRDefault="00DF5E6E" w:rsidP="0092166C">
            <w:pPr>
              <w:pStyle w:val="Prrafodelista"/>
              <w:numPr>
                <w:ilvl w:val="0"/>
                <w:numId w:val="43"/>
              </w:numPr>
              <w:jc w:val="both"/>
              <w:rPr>
                <w:rFonts w:cs="Arial"/>
                <w:sz w:val="16"/>
                <w:szCs w:val="16"/>
              </w:rPr>
            </w:pPr>
            <w:r w:rsidRPr="00F4040A">
              <w:rPr>
                <w:rFonts w:cs="Arial"/>
                <w:sz w:val="16"/>
                <w:szCs w:val="16"/>
              </w:rPr>
              <w:t>Evaluar l</w:t>
            </w:r>
            <w:r>
              <w:rPr>
                <w:rFonts w:cs="Arial"/>
                <w:sz w:val="16"/>
                <w:szCs w:val="16"/>
              </w:rPr>
              <w:t>a efica</w:t>
            </w:r>
            <w:r w:rsidR="00AE24ED">
              <w:rPr>
                <w:rFonts w:cs="Arial"/>
                <w:sz w:val="16"/>
                <w:szCs w:val="16"/>
              </w:rPr>
              <w:t>cia de la acción tomada(febrero 22</w:t>
            </w:r>
            <w:r w:rsidRPr="00F4040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 2018)</w:t>
            </w:r>
          </w:p>
          <w:p w:rsidR="00DF5E6E" w:rsidRPr="00F264A2" w:rsidRDefault="00DF5E6E" w:rsidP="00F52E6E">
            <w:pPr>
              <w:ind w:left="-360"/>
              <w:jc w:val="both"/>
              <w:rPr>
                <w:rFonts w:cs="Arial"/>
                <w:sz w:val="16"/>
                <w:szCs w:val="16"/>
              </w:rPr>
            </w:pPr>
          </w:p>
          <w:p w:rsidR="00DF5E6E" w:rsidRDefault="00DF5E6E" w:rsidP="00F52E6E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DF5E6E" w:rsidRPr="00DF5E6E" w:rsidRDefault="00DF5E6E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52E6E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Pr="00BF7DDE" w:rsidRDefault="00857E64" w:rsidP="00F52E6E">
            <w:pPr>
              <w:jc w:val="both"/>
              <w:rPr>
                <w:sz w:val="16"/>
                <w:szCs w:val="16"/>
              </w:rPr>
            </w:pPr>
            <w:r w:rsidRPr="00BF7DDE">
              <w:rPr>
                <w:sz w:val="16"/>
                <w:szCs w:val="16"/>
              </w:rPr>
              <w:t>En la Planificación de cambios no se ha considerado la integridad del sistema de gestión de calidad y sus consecuencias potenciales</w:t>
            </w:r>
          </w:p>
          <w:p w:rsidR="00857E64" w:rsidRPr="00BF7DDE" w:rsidRDefault="00857E64" w:rsidP="00F52E6E">
            <w:pPr>
              <w:jc w:val="both"/>
              <w:rPr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b/>
                <w:sz w:val="16"/>
                <w:szCs w:val="16"/>
              </w:rPr>
            </w:pPr>
            <w:r w:rsidRPr="00BF7DDE">
              <w:rPr>
                <w:b/>
                <w:sz w:val="16"/>
                <w:szCs w:val="16"/>
              </w:rPr>
              <w:t>Evidencia:</w:t>
            </w:r>
          </w:p>
          <w:p w:rsidR="00857E64" w:rsidRPr="00BF7DDE" w:rsidRDefault="00857E64" w:rsidP="00F52E6E">
            <w:pPr>
              <w:jc w:val="both"/>
              <w:rPr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sz w:val="16"/>
                <w:szCs w:val="16"/>
              </w:rPr>
            </w:pPr>
            <w:r w:rsidRPr="00BF7DDE">
              <w:rPr>
                <w:sz w:val="16"/>
                <w:szCs w:val="16"/>
              </w:rPr>
              <w:t>Cambio de Secretario, Juzgado Primero Civil Circuito de Armenia.</w:t>
            </w:r>
          </w:p>
          <w:p w:rsidR="00857E64" w:rsidRPr="00F52349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7E64" w:rsidRPr="00BF7DDE" w:rsidRDefault="00857E64" w:rsidP="00F52E6E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Realizar Inducción y capacitación </w:t>
            </w:r>
            <w:r w:rsidRPr="00EF6E04">
              <w:rPr>
                <w:rFonts w:cs="Arial"/>
                <w:sz w:val="16"/>
                <w:szCs w:val="16"/>
              </w:rPr>
              <w:t xml:space="preserve"> y</w:t>
            </w:r>
            <w:r w:rsidRPr="00EF6E04">
              <w:rPr>
                <w:sz w:val="16"/>
                <w:szCs w:val="16"/>
              </w:rPr>
              <w:t xml:space="preserve">  documentar la planificación del cambio</w:t>
            </w:r>
            <w:r>
              <w:rPr>
                <w:rFonts w:cs="Arial"/>
                <w:sz w:val="16"/>
                <w:szCs w:val="16"/>
              </w:rPr>
              <w:t xml:space="preserve">  al secretario </w:t>
            </w:r>
            <w:r w:rsidRPr="00BF7DDE">
              <w:rPr>
                <w:sz w:val="16"/>
                <w:szCs w:val="16"/>
              </w:rPr>
              <w:t>Juzgado Primero Civil Circuito de Armenia.</w:t>
            </w:r>
            <w:r w:rsidR="00395536">
              <w:rPr>
                <w:sz w:val="16"/>
                <w:szCs w:val="16"/>
              </w:rPr>
              <w:t>(enero 12</w:t>
            </w:r>
            <w:r>
              <w:rPr>
                <w:sz w:val="16"/>
                <w:szCs w:val="16"/>
              </w:rPr>
              <w:t xml:space="preserve"> del 2017)</w:t>
            </w:r>
          </w:p>
          <w:p w:rsidR="00857E64" w:rsidRDefault="00857E64" w:rsidP="00F52E6E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7E64" w:rsidRDefault="00857E64" w:rsidP="000530F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capacitación al ingreso del personal nuevo.</w:t>
            </w:r>
          </w:p>
          <w:p w:rsidR="00857E64" w:rsidRDefault="00857E64" w:rsidP="000530F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Falta de aplicabilidad del numeral de la norma 6.3 planificación del cambio y 7.1.6 de la gestión de conocimiento.</w:t>
            </w:r>
          </w:p>
          <w:p w:rsidR="00857E64" w:rsidRDefault="00857E64" w:rsidP="000530F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No se cuenta con una metodología adecuada para la plan</w:t>
            </w:r>
            <w:r w:rsidR="0098305E">
              <w:rPr>
                <w:rFonts w:cs="Arial"/>
                <w:sz w:val="16"/>
                <w:szCs w:val="16"/>
              </w:rPr>
              <w:t>ificación de los cambios teniendo en cuenta muy especialmente la rotación de personal.</w:t>
            </w:r>
          </w:p>
          <w:p w:rsidR="003250FF" w:rsidRPr="0098305E" w:rsidRDefault="003250FF" w:rsidP="0098305E">
            <w:pPr>
              <w:pStyle w:val="Prrafodelista"/>
              <w:ind w:left="360"/>
              <w:jc w:val="both"/>
              <w:rPr>
                <w:rFonts w:cs="Arial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F16" w:rsidRDefault="00F87F16" w:rsidP="000530F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del V Conversatorio Nacional SIGCMA donde se dará énfasis en la planificación del cambio y la metodología que se adoptará, a nivel nacional tanto administrativo como judicial (Noviembre 20 y 21 del 2017)</w:t>
            </w:r>
            <w:r w:rsidR="00565E20">
              <w:rPr>
                <w:rFonts w:cs="Arial"/>
                <w:sz w:val="16"/>
                <w:szCs w:val="16"/>
              </w:rPr>
              <w:t>.</w:t>
            </w:r>
          </w:p>
          <w:p w:rsidR="00857E64" w:rsidRPr="00857E64" w:rsidRDefault="00857E64" w:rsidP="000530F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Documentar la metodología para la planificación de cambios de acuerdo a los lineamientos de la norma ISO 9001:2015 (Febrero 28 del 2018)</w:t>
            </w:r>
          </w:p>
          <w:p w:rsidR="00857E64" w:rsidRPr="00857E64" w:rsidRDefault="00857E64" w:rsidP="000530F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Diseñar instrume</w:t>
            </w:r>
            <w:r>
              <w:rPr>
                <w:rFonts w:cs="Arial"/>
                <w:sz w:val="16"/>
                <w:szCs w:val="16"/>
              </w:rPr>
              <w:t>n</w:t>
            </w:r>
            <w:r w:rsidRPr="00857E64">
              <w:rPr>
                <w:rFonts w:cs="Arial"/>
                <w:sz w:val="16"/>
                <w:szCs w:val="16"/>
              </w:rPr>
              <w:t>to de planificación de Cambio ( Marzo 16 del 2018)</w:t>
            </w:r>
          </w:p>
          <w:p w:rsidR="00857E64" w:rsidRDefault="00857E64" w:rsidP="000530F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Socializar a los líderes de procesos</w:t>
            </w:r>
            <w:r w:rsidR="00C37C74">
              <w:rPr>
                <w:rFonts w:cs="Arial"/>
                <w:sz w:val="16"/>
                <w:szCs w:val="16"/>
              </w:rPr>
              <w:t xml:space="preserve"> y a los jueces para que los cambios se hagan </w:t>
            </w:r>
            <w:r w:rsidR="00F87F16">
              <w:rPr>
                <w:rFonts w:cs="Arial"/>
                <w:sz w:val="16"/>
                <w:szCs w:val="16"/>
              </w:rPr>
              <w:t>planificadamente</w:t>
            </w:r>
            <w:r w:rsidR="00C37C74">
              <w:rPr>
                <w:rFonts w:cs="Arial"/>
                <w:sz w:val="16"/>
                <w:szCs w:val="16"/>
              </w:rPr>
              <w:t xml:space="preserve"> de acuerdo a</w:t>
            </w:r>
            <w:r w:rsidRPr="00857E64">
              <w:rPr>
                <w:rFonts w:cs="Arial"/>
                <w:sz w:val="16"/>
                <w:szCs w:val="16"/>
              </w:rPr>
              <w:t xml:space="preserve"> la metodología e instrumento para la planificación de los cambios</w:t>
            </w:r>
            <w:r w:rsidR="00C37C74">
              <w:rPr>
                <w:rFonts w:cs="Arial"/>
                <w:sz w:val="16"/>
                <w:szCs w:val="16"/>
              </w:rPr>
              <w:t>, teniendo muy en cuenta los cambios de personal que se generan tanto en los juzgados como en la seccional de Armenia</w:t>
            </w:r>
            <w:r w:rsidRPr="00857E64">
              <w:rPr>
                <w:rFonts w:cs="Arial"/>
                <w:sz w:val="16"/>
                <w:szCs w:val="16"/>
              </w:rPr>
              <w:t xml:space="preserve"> </w:t>
            </w:r>
            <w:r w:rsidR="00F87F16" w:rsidRPr="00857E64">
              <w:rPr>
                <w:rFonts w:cs="Arial"/>
                <w:sz w:val="16"/>
                <w:szCs w:val="16"/>
              </w:rPr>
              <w:t>(Marzo</w:t>
            </w:r>
            <w:r w:rsidR="005273A7" w:rsidRPr="00857E64">
              <w:rPr>
                <w:rFonts w:cs="Arial"/>
                <w:sz w:val="16"/>
                <w:szCs w:val="16"/>
              </w:rPr>
              <w:t xml:space="preserve"> 30 del 2018</w:t>
            </w:r>
            <w:r w:rsidRPr="00857E64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C37C74" w:rsidRDefault="00C37C74" w:rsidP="00C37C74">
            <w:pPr>
              <w:pStyle w:val="Prrafodelista"/>
              <w:ind w:left="360"/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3250FF" w:rsidRDefault="00857E64" w:rsidP="000530F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4040A">
              <w:rPr>
                <w:rFonts w:cs="Arial"/>
                <w:sz w:val="16"/>
                <w:szCs w:val="16"/>
              </w:rPr>
              <w:t>Evaluar l</w:t>
            </w:r>
            <w:r>
              <w:rPr>
                <w:rFonts w:cs="Arial"/>
                <w:sz w:val="16"/>
                <w:szCs w:val="16"/>
              </w:rPr>
              <w:t>a efic</w:t>
            </w:r>
            <w:r w:rsidR="000276E6">
              <w:rPr>
                <w:rFonts w:cs="Arial"/>
                <w:sz w:val="16"/>
                <w:szCs w:val="16"/>
              </w:rPr>
              <w:t>acia de la acción tomada (abril 3</w:t>
            </w:r>
            <w:r>
              <w:rPr>
                <w:rFonts w:cs="Arial"/>
                <w:sz w:val="16"/>
                <w:szCs w:val="16"/>
              </w:rPr>
              <w:t xml:space="preserve"> de 2018).</w:t>
            </w:r>
          </w:p>
          <w:p w:rsidR="003250FF" w:rsidRPr="003250FF" w:rsidRDefault="003250FF" w:rsidP="003250FF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3250FF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</w:p>
        </w:tc>
      </w:tr>
      <w:tr w:rsidR="00F52E6E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BF7DDE">
              <w:rPr>
                <w:rFonts w:cs="Arial"/>
                <w:sz w:val="16"/>
                <w:szCs w:val="16"/>
              </w:rPr>
              <w:t>No hay evidencia de la consideración sobre la integralidad con la realización de cambios.</w:t>
            </w:r>
          </w:p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b/>
                <w:sz w:val="16"/>
                <w:szCs w:val="16"/>
              </w:rPr>
            </w:pPr>
            <w:r w:rsidRPr="00BF7DDE">
              <w:rPr>
                <w:b/>
                <w:sz w:val="16"/>
                <w:szCs w:val="16"/>
              </w:rPr>
              <w:t>Evidencia:</w:t>
            </w: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BF7DDE">
              <w:rPr>
                <w:rFonts w:cs="Arial"/>
                <w:sz w:val="16"/>
                <w:szCs w:val="16"/>
              </w:rPr>
              <w:t xml:space="preserve">Cambio de Juez Segundo Promiscuo Municipal paso al Juzgado Primero Civil de Restitución de Tierras y el Secretario a Segundo Promiscuo Municipal. </w:t>
            </w: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A92AC7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57E64" w:rsidRPr="00A92AC7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 ISO 9001:2015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7E64" w:rsidRPr="00EF6E0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Realizar la inducción, </w:t>
            </w:r>
            <w:r w:rsidRPr="00EF6E04">
              <w:rPr>
                <w:rFonts w:cs="Arial"/>
                <w:sz w:val="16"/>
                <w:szCs w:val="16"/>
              </w:rPr>
              <w:t>capacitación  y</w:t>
            </w:r>
            <w:r w:rsidRPr="00EF6E04">
              <w:rPr>
                <w:sz w:val="16"/>
                <w:szCs w:val="16"/>
              </w:rPr>
              <w:t xml:space="preserve">  documentar la planificación del cambio de juez </w:t>
            </w:r>
            <w:r w:rsidRPr="00EF6E04">
              <w:rPr>
                <w:sz w:val="16"/>
                <w:szCs w:val="16"/>
              </w:rPr>
              <w:lastRenderedPageBreak/>
              <w:t>segundo Promiscuo Municipal el cual paso al Juzgado Primero Civil de Restitución de Tierras y el Secretario de Restitución de Tierras a Juez del Juzgado Segundo Promiscuo Municipal. (enero 12 del 2018)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57E64" w:rsidRDefault="00857E64" w:rsidP="000530F9">
            <w:pPr>
              <w:pStyle w:val="Prrafodelista"/>
              <w:numPr>
                <w:ilvl w:val="0"/>
                <w:numId w:val="5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Falta de capacitación al ingreso del personal nuevo.</w:t>
            </w:r>
          </w:p>
          <w:p w:rsidR="00857E64" w:rsidRDefault="00857E64" w:rsidP="000530F9">
            <w:pPr>
              <w:pStyle w:val="Prrafodelista"/>
              <w:numPr>
                <w:ilvl w:val="0"/>
                <w:numId w:val="50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Falta de aplicabilidad del numeral de la norma 6.3 planificación del cambio y 7.1.6 de la gestión de conocimiento.</w:t>
            </w:r>
          </w:p>
          <w:p w:rsidR="0098305E" w:rsidRDefault="00857E64" w:rsidP="000530F9">
            <w:pPr>
              <w:pStyle w:val="Prrafodelista"/>
              <w:numPr>
                <w:ilvl w:val="0"/>
                <w:numId w:val="48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No se cuenta con una metodología adecuada para la planificación de los cambios</w:t>
            </w:r>
            <w:r w:rsidR="0098305E">
              <w:rPr>
                <w:rFonts w:cs="Arial"/>
                <w:sz w:val="16"/>
                <w:szCs w:val="16"/>
              </w:rPr>
              <w:t xml:space="preserve"> en cuenta muy especialmente la rotación de personal.</w:t>
            </w:r>
          </w:p>
          <w:p w:rsidR="00857E64" w:rsidRPr="0098305E" w:rsidRDefault="00857E64" w:rsidP="0098305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2B14" w:rsidRDefault="00E12B14" w:rsidP="00E12B14">
            <w:pPr>
              <w:pStyle w:val="Prrafodelista"/>
              <w:numPr>
                <w:ilvl w:val="0"/>
                <w:numId w:val="51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Realización del V Conversatorio Nacional SIGCMA donde se dará énfasis en la planificación del cambio </w:t>
            </w:r>
            <w:r>
              <w:rPr>
                <w:rFonts w:cs="Arial"/>
                <w:sz w:val="16"/>
                <w:szCs w:val="16"/>
              </w:rPr>
              <w:lastRenderedPageBreak/>
              <w:t>y la metodología que se adoptará, a nivel nacional tanto administrativo como judicial (Noviembre 20 y 21 del 2017).</w:t>
            </w:r>
          </w:p>
          <w:p w:rsidR="00857E64" w:rsidRPr="00857E64" w:rsidRDefault="00857E64" w:rsidP="00E12B14">
            <w:pPr>
              <w:pStyle w:val="Prrafodelista"/>
              <w:numPr>
                <w:ilvl w:val="0"/>
                <w:numId w:val="51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Documentar la metodología para la planificación de cambios de acuerdo a los lineamientos de la norma ISO 9001:2015 (Febrero 28 del 2018)</w:t>
            </w:r>
          </w:p>
          <w:p w:rsidR="00857E64" w:rsidRPr="00857E64" w:rsidRDefault="00857E64" w:rsidP="00E12B14">
            <w:pPr>
              <w:pStyle w:val="Prrafodelista"/>
              <w:numPr>
                <w:ilvl w:val="0"/>
                <w:numId w:val="51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2. Diseñar instrume</w:t>
            </w:r>
            <w:r>
              <w:rPr>
                <w:rFonts w:cs="Arial"/>
                <w:sz w:val="16"/>
                <w:szCs w:val="16"/>
              </w:rPr>
              <w:t>n</w:t>
            </w:r>
            <w:r w:rsidRPr="00857E64">
              <w:rPr>
                <w:rFonts w:cs="Arial"/>
                <w:sz w:val="16"/>
                <w:szCs w:val="16"/>
              </w:rPr>
              <w:t>to de planificación de Cambio ( Marzo 16 del 2018)</w:t>
            </w:r>
          </w:p>
          <w:p w:rsidR="00857E64" w:rsidRDefault="00857E64" w:rsidP="00E12B14">
            <w:pPr>
              <w:pStyle w:val="Prrafodelista"/>
              <w:numPr>
                <w:ilvl w:val="0"/>
                <w:numId w:val="51"/>
              </w:numPr>
              <w:jc w:val="both"/>
              <w:rPr>
                <w:rFonts w:cs="Arial"/>
                <w:sz w:val="16"/>
                <w:szCs w:val="16"/>
              </w:rPr>
            </w:pPr>
            <w:r w:rsidRPr="00857E64">
              <w:rPr>
                <w:rFonts w:cs="Arial"/>
                <w:sz w:val="16"/>
                <w:szCs w:val="16"/>
              </w:rPr>
              <w:t>3.</w:t>
            </w:r>
            <w:r w:rsidR="009C5DEE" w:rsidRPr="00857E64">
              <w:rPr>
                <w:rFonts w:cs="Arial"/>
                <w:sz w:val="16"/>
                <w:szCs w:val="16"/>
              </w:rPr>
              <w:t xml:space="preserve"> Socializar a los líderes de procesos</w:t>
            </w:r>
            <w:r w:rsidR="009C5DEE">
              <w:rPr>
                <w:rFonts w:cs="Arial"/>
                <w:sz w:val="16"/>
                <w:szCs w:val="16"/>
              </w:rPr>
              <w:t xml:space="preserve"> y a los jueces para que los cambios se hagan planificadamente de acuerdo a</w:t>
            </w:r>
            <w:r w:rsidR="009C5DEE" w:rsidRPr="00857E64">
              <w:rPr>
                <w:rFonts w:cs="Arial"/>
                <w:sz w:val="16"/>
                <w:szCs w:val="16"/>
              </w:rPr>
              <w:t xml:space="preserve"> la metodología e instrumento para la planificación de los cambios</w:t>
            </w:r>
            <w:r w:rsidR="009C5DEE">
              <w:rPr>
                <w:rFonts w:cs="Arial"/>
                <w:sz w:val="16"/>
                <w:szCs w:val="16"/>
              </w:rPr>
              <w:t>, teniendo muy en cuenta los cambios de personal que se generan tanto en los juzgados como en la seccional de Cartagena</w:t>
            </w:r>
            <w:r w:rsidRPr="00857E64">
              <w:rPr>
                <w:rFonts w:cs="Arial"/>
                <w:sz w:val="16"/>
                <w:szCs w:val="16"/>
              </w:rPr>
              <w:t>. (Marzo 30 del 2018)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857E64" w:rsidRPr="003250FF" w:rsidRDefault="00857E64" w:rsidP="00E12B14">
            <w:pPr>
              <w:pStyle w:val="Prrafodelista"/>
              <w:numPr>
                <w:ilvl w:val="0"/>
                <w:numId w:val="51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F4040A">
              <w:rPr>
                <w:rFonts w:cs="Arial"/>
                <w:sz w:val="16"/>
                <w:szCs w:val="16"/>
              </w:rPr>
              <w:t>Evaluar l</w:t>
            </w:r>
            <w:r>
              <w:rPr>
                <w:rFonts w:cs="Arial"/>
                <w:sz w:val="16"/>
                <w:szCs w:val="16"/>
              </w:rPr>
              <w:t>a eficacia de la acción tomada (</w:t>
            </w:r>
            <w:r w:rsidR="005273A7">
              <w:rPr>
                <w:rFonts w:cs="Arial"/>
                <w:sz w:val="16"/>
                <w:szCs w:val="16"/>
              </w:rPr>
              <w:t xml:space="preserve"> abril 3 de 2018</w:t>
            </w:r>
            <w:r>
              <w:rPr>
                <w:rFonts w:cs="Arial"/>
                <w:sz w:val="16"/>
                <w:szCs w:val="16"/>
              </w:rPr>
              <w:t>).</w:t>
            </w:r>
          </w:p>
          <w:p w:rsidR="003250FF" w:rsidRPr="00055E29" w:rsidRDefault="003250FF" w:rsidP="0098305E">
            <w:pPr>
              <w:pStyle w:val="Prrafodelista"/>
              <w:ind w:left="360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52E6E" w:rsidRPr="000B637C" w:rsidTr="00F52E6E">
        <w:trPr>
          <w:trHeight w:val="75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BF7DDE">
              <w:rPr>
                <w:rFonts w:cs="Arial"/>
                <w:sz w:val="16"/>
                <w:szCs w:val="16"/>
              </w:rPr>
              <w:t>No hay evidencia de la identificación de las acciones para el tratamiento a las salidas no conformes</w:t>
            </w: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BF7DDE">
              <w:rPr>
                <w:rFonts w:cs="Arial"/>
                <w:b/>
                <w:sz w:val="16"/>
                <w:szCs w:val="16"/>
              </w:rPr>
              <w:t>Evidencia:</w:t>
            </w: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57E64" w:rsidRPr="00BF7DDE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 w:rsidRPr="00BF7DDE">
              <w:rPr>
                <w:rFonts w:cs="Arial"/>
                <w:sz w:val="16"/>
                <w:szCs w:val="16"/>
              </w:rPr>
              <w:t>En los Juzgados Primero  Civil  del Circuito  Especializado en Restitución de Tierras y Segundo Promiscuo Municipal, Carmen de Bolívar</w:t>
            </w:r>
          </w:p>
          <w:p w:rsidR="00857E64" w:rsidRPr="00CB55EF" w:rsidRDefault="00857E64" w:rsidP="00F52E6E">
            <w:pPr>
              <w:jc w:val="both"/>
              <w:rPr>
                <w:rFonts w:cs="Arial"/>
              </w:rPr>
            </w:pPr>
          </w:p>
          <w:p w:rsidR="00857E64" w:rsidRPr="00A92AC7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57E64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857E64" w:rsidRPr="00A92AC7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 y 8.3 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7E64" w:rsidRPr="0070054B" w:rsidRDefault="00857E64" w:rsidP="00F52E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Identificar</w:t>
            </w:r>
            <w:r w:rsidRPr="0070054B">
              <w:rPr>
                <w:rFonts w:cs="Arial"/>
                <w:sz w:val="16"/>
                <w:szCs w:val="16"/>
              </w:rPr>
              <w:t xml:space="preserve"> las acciones de gestión y su tratamiento </w:t>
            </w:r>
            <w:r>
              <w:rPr>
                <w:rFonts w:cs="Arial"/>
                <w:sz w:val="16"/>
                <w:szCs w:val="16"/>
              </w:rPr>
              <w:t>a las salidas no conformes e</w:t>
            </w:r>
            <w:r w:rsidRPr="0070054B">
              <w:rPr>
                <w:rFonts w:cs="Arial"/>
                <w:sz w:val="16"/>
                <w:szCs w:val="16"/>
              </w:rPr>
              <w:t xml:space="preserve">n los Juzgados Primero  Civil  del Circuito  Especializado en Restitución de Tierras y Segundo Promiscuo Municipal, Carmen de Bolívar (enero 12 del 2018)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7E64" w:rsidRPr="00E9065F" w:rsidRDefault="00857E64" w:rsidP="000530F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9065F">
              <w:rPr>
                <w:rFonts w:cs="Arial"/>
                <w:color w:val="000000" w:themeColor="text1"/>
                <w:sz w:val="16"/>
                <w:szCs w:val="16"/>
              </w:rPr>
              <w:t>Desconocimiento en la identificación</w:t>
            </w:r>
            <w:r w:rsidR="00E9065F" w:rsidRPr="00E9065F">
              <w:rPr>
                <w:rFonts w:cs="Arial"/>
                <w:color w:val="000000" w:themeColor="text1"/>
                <w:sz w:val="16"/>
                <w:szCs w:val="16"/>
              </w:rPr>
              <w:t xml:space="preserve"> para el tratamiento de las salidas no conformes.</w:t>
            </w:r>
          </w:p>
          <w:p w:rsidR="002E5116" w:rsidRPr="00E9065F" w:rsidRDefault="00857E64" w:rsidP="000530F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9065F">
              <w:rPr>
                <w:rFonts w:cs="Arial"/>
                <w:color w:val="000000" w:themeColor="text1"/>
                <w:sz w:val="16"/>
                <w:szCs w:val="16"/>
              </w:rPr>
              <w:t>Desconoc</w:t>
            </w:r>
            <w:r w:rsidR="00E9065F">
              <w:rPr>
                <w:rFonts w:cs="Arial"/>
                <w:color w:val="000000" w:themeColor="text1"/>
                <w:sz w:val="16"/>
                <w:szCs w:val="16"/>
              </w:rPr>
              <w:t>imiento del procedimiento del producto no conforme y su tratamiento.</w:t>
            </w:r>
            <w:r w:rsidRPr="00E9065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57E64" w:rsidRPr="00112A56" w:rsidRDefault="00E908CC" w:rsidP="00E908CC">
            <w:pPr>
              <w:pStyle w:val="Prrafodelista"/>
              <w:numPr>
                <w:ilvl w:val="0"/>
                <w:numId w:val="45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Realización del V Conversatorio Nacional SIGCMA donde se dará énfasis en la identificación de producto no conforme y su tratamiento a nivel nacional, tanto administrativo como judicial (Noviembre 20 y 21 del 2017)</w:t>
            </w:r>
          </w:p>
          <w:p w:rsidR="00857E64" w:rsidRPr="00E908CC" w:rsidRDefault="00883EEA" w:rsidP="00EC00FD">
            <w:pPr>
              <w:pStyle w:val="Prrafodelista"/>
              <w:numPr>
                <w:ilvl w:val="0"/>
                <w:numId w:val="45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Divulgar a los juzgados través de One </w:t>
            </w:r>
            <w:r w:rsidR="00AE1FA8" w:rsidRPr="00E908CC">
              <w:rPr>
                <w:rFonts w:cs="Arial"/>
                <w:color w:val="000000" w:themeColor="text1"/>
                <w:sz w:val="16"/>
                <w:szCs w:val="16"/>
              </w:rPr>
              <w:t>drive el</w:t>
            </w:r>
            <w:r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E1FA8" w:rsidRPr="00E908CC">
              <w:rPr>
                <w:rFonts w:cs="Arial"/>
                <w:color w:val="000000" w:themeColor="text1"/>
                <w:sz w:val="16"/>
                <w:szCs w:val="16"/>
              </w:rPr>
              <w:t>procedimiento producto</w:t>
            </w:r>
            <w:r w:rsidR="00E908CC"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 no confo</w:t>
            </w:r>
            <w:r w:rsidR="00A54623"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rme y su </w:t>
            </w:r>
            <w:r w:rsidR="00AE1FA8" w:rsidRPr="00E908CC">
              <w:rPr>
                <w:rFonts w:cs="Arial"/>
                <w:color w:val="000000" w:themeColor="text1"/>
                <w:sz w:val="16"/>
                <w:szCs w:val="16"/>
              </w:rPr>
              <w:t>tratamiento (noviembre 30</w:t>
            </w:r>
            <w:r w:rsidR="005273A7"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 del 2017</w:t>
            </w:r>
            <w:r w:rsidRPr="00E908CC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  <w:r w:rsidR="00E908CC" w:rsidRPr="00E908C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908C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857E64" w:rsidRPr="00112A56" w:rsidRDefault="00857E64" w:rsidP="000530F9">
            <w:pPr>
              <w:pStyle w:val="Prrafodelista"/>
              <w:numPr>
                <w:ilvl w:val="0"/>
                <w:numId w:val="45"/>
              </w:num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112A56">
              <w:rPr>
                <w:rFonts w:cs="Arial"/>
                <w:color w:val="000000" w:themeColor="text1"/>
                <w:sz w:val="16"/>
                <w:szCs w:val="16"/>
              </w:rPr>
              <w:t>Evaluar la eficacia de la acción tomada (marzo 8 de 2017).</w:t>
            </w:r>
          </w:p>
          <w:p w:rsidR="00857E64" w:rsidRPr="00112A56" w:rsidRDefault="00857E64" w:rsidP="00F52E6E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857E64" w:rsidRPr="002B0585" w:rsidRDefault="00857E64" w:rsidP="000530F9">
            <w:pPr>
              <w:pStyle w:val="Prrafodelista"/>
              <w:numPr>
                <w:ilvl w:val="0"/>
                <w:numId w:val="54"/>
              </w:numPr>
              <w:ind w:left="81" w:hanging="639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8A6CC6" w:rsidRPr="000B637C" w:rsidRDefault="00F06642" w:rsidP="008F354A">
      <w:pPr>
        <w:ind w:left="-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textWrapping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857"/>
        <w:gridCol w:w="4857"/>
      </w:tblGrid>
      <w:tr w:rsidR="00BB6C51" w:rsidRPr="000B637C" w:rsidTr="00802085">
        <w:tc>
          <w:tcPr>
            <w:tcW w:w="4904" w:type="dxa"/>
          </w:tcPr>
          <w:p w:rsidR="00BB6C51" w:rsidRPr="000B637C" w:rsidRDefault="00BB6C51" w:rsidP="00802085">
            <w:pPr>
              <w:pStyle w:val="Piedepgina"/>
              <w:rPr>
                <w:sz w:val="16"/>
                <w:szCs w:val="16"/>
              </w:rPr>
            </w:pPr>
          </w:p>
        </w:tc>
        <w:tc>
          <w:tcPr>
            <w:tcW w:w="4904" w:type="dxa"/>
          </w:tcPr>
          <w:p w:rsidR="00BB6C51" w:rsidRPr="000B637C" w:rsidRDefault="00BB6C51" w:rsidP="00802085">
            <w:pPr>
              <w:pStyle w:val="Piedepgina"/>
              <w:jc w:val="center"/>
              <w:rPr>
                <w:sz w:val="16"/>
                <w:szCs w:val="16"/>
              </w:rPr>
            </w:pPr>
          </w:p>
        </w:tc>
        <w:tc>
          <w:tcPr>
            <w:tcW w:w="4904" w:type="dxa"/>
          </w:tcPr>
          <w:p w:rsidR="00BB6C51" w:rsidRPr="000B637C" w:rsidRDefault="00BB6C51" w:rsidP="00802085">
            <w:pPr>
              <w:pStyle w:val="Piedepgina"/>
              <w:jc w:val="right"/>
              <w:rPr>
                <w:sz w:val="16"/>
                <w:szCs w:val="16"/>
              </w:rPr>
            </w:pPr>
          </w:p>
        </w:tc>
      </w:tr>
    </w:tbl>
    <w:p w:rsidR="000217EB" w:rsidRPr="009051EC" w:rsidRDefault="009051EC" w:rsidP="00AA1B1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9051EC">
        <w:rPr>
          <w:sz w:val="16"/>
          <w:szCs w:val="16"/>
        </w:rPr>
        <w:t>UDAE/OBH/WES</w:t>
      </w:r>
    </w:p>
    <w:sectPr w:rsidR="000217EB" w:rsidRPr="009051EC" w:rsidSect="00AA1B1C">
      <w:footerReference w:type="default" r:id="rId9"/>
      <w:pgSz w:w="16840" w:h="11907" w:orient="landscape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64" w:rsidRDefault="005C4A64">
      <w:r>
        <w:separator/>
      </w:r>
    </w:p>
  </w:endnote>
  <w:endnote w:type="continuationSeparator" w:id="0">
    <w:p w:rsidR="005C4A64" w:rsidRDefault="005C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C0" w:rsidRPr="008A6CC6" w:rsidRDefault="004C56C0" w:rsidP="00AF457B">
    <w:pPr>
      <w:pStyle w:val="Piedepgina"/>
      <w:jc w:val="center"/>
      <w:rPr>
        <w:sz w:val="16"/>
        <w:szCs w:val="18"/>
      </w:rPr>
    </w:pPr>
    <w:r w:rsidRPr="008A6CC6">
      <w:rPr>
        <w:i/>
        <w:sz w:val="16"/>
        <w:szCs w:val="18"/>
      </w:rPr>
      <w:t xml:space="preserve">Este informe es propiedad de ICONTEC y se comunicará después de la </w:t>
    </w:r>
    <w:r>
      <w:rPr>
        <w:i/>
        <w:sz w:val="16"/>
        <w:szCs w:val="18"/>
      </w:rPr>
      <w:t xml:space="preserve">auditoría </w:t>
    </w:r>
    <w:r w:rsidRPr="008A6CC6">
      <w:rPr>
        <w:i/>
        <w:sz w:val="16"/>
        <w:szCs w:val="18"/>
      </w:rPr>
      <w:t xml:space="preserve">únicamente a la </w:t>
    </w:r>
    <w:r>
      <w:rPr>
        <w:i/>
        <w:sz w:val="16"/>
        <w:szCs w:val="18"/>
      </w:rPr>
      <w:t xml:space="preserve">Organización </w:t>
    </w:r>
    <w:r w:rsidRPr="008A6CC6">
      <w:rPr>
        <w:i/>
        <w:sz w:val="16"/>
        <w:szCs w:val="18"/>
      </w:rPr>
      <w:t xml:space="preserve">y no será divulgado a terceros sin autorización de la </w:t>
    </w:r>
    <w:r>
      <w:rPr>
        <w:i/>
        <w:sz w:val="16"/>
        <w:szCs w:val="18"/>
      </w:rPr>
      <w:t>Organización</w:t>
    </w:r>
    <w:r w:rsidRPr="008A6CC6">
      <w:rPr>
        <w:i/>
        <w:sz w:val="16"/>
        <w:szCs w:val="18"/>
      </w:rPr>
      <w:t>.</w:t>
    </w:r>
  </w:p>
  <w:p w:rsidR="004C56C0" w:rsidRDefault="004C56C0" w:rsidP="00BB6C51">
    <w:pPr>
      <w:pStyle w:val="Piedepgina"/>
      <w:jc w:val="center"/>
      <w:rPr>
        <w:b/>
        <w:sz w:val="24"/>
        <w:szCs w:val="24"/>
      </w:rPr>
    </w:pPr>
  </w:p>
  <w:tbl>
    <w:tblPr>
      <w:tblW w:w="16297" w:type="dxa"/>
      <w:tblLook w:val="04A0" w:firstRow="1" w:lastRow="0" w:firstColumn="1" w:lastColumn="0" w:noHBand="0" w:noVBand="1"/>
    </w:tblPr>
    <w:tblGrid>
      <w:gridCol w:w="3259"/>
      <w:gridCol w:w="3259"/>
      <w:gridCol w:w="3259"/>
      <w:gridCol w:w="3260"/>
      <w:gridCol w:w="3260"/>
    </w:tblGrid>
    <w:tr w:rsidR="004C56C0" w:rsidTr="00C44989">
      <w:tc>
        <w:tcPr>
          <w:tcW w:w="3259" w:type="dxa"/>
        </w:tcPr>
        <w:p w:rsidR="004C56C0" w:rsidRPr="00BB6C51" w:rsidRDefault="004C56C0" w:rsidP="00C44989">
          <w:pPr>
            <w:pStyle w:val="Piedepgina"/>
            <w:rPr>
              <w:sz w:val="16"/>
              <w:szCs w:val="16"/>
            </w:rPr>
          </w:pPr>
          <w:r w:rsidRPr="00BB6C51">
            <w:rPr>
              <w:sz w:val="16"/>
              <w:szCs w:val="16"/>
            </w:rPr>
            <w:t>ES-P-SG-02-F-025</w:t>
          </w:r>
        </w:p>
        <w:p w:rsidR="004C56C0" w:rsidRDefault="004C56C0" w:rsidP="00C44989">
          <w:pPr>
            <w:pStyle w:val="Piedepgina"/>
          </w:pPr>
          <w:r>
            <w:rPr>
              <w:sz w:val="16"/>
              <w:szCs w:val="16"/>
            </w:rPr>
            <w:t>Versión  12</w:t>
          </w:r>
        </w:p>
      </w:tc>
      <w:tc>
        <w:tcPr>
          <w:tcW w:w="3259" w:type="dxa"/>
        </w:tcPr>
        <w:p w:rsidR="004C56C0" w:rsidRPr="00CB5482" w:rsidRDefault="004C56C0" w:rsidP="00C44989">
          <w:pPr>
            <w:pStyle w:val="Piedepgina"/>
            <w:jc w:val="center"/>
            <w:rPr>
              <w:sz w:val="16"/>
              <w:szCs w:val="16"/>
            </w:rPr>
          </w:pPr>
          <w:r w:rsidRPr="00CB5482">
            <w:rPr>
              <w:sz w:val="16"/>
              <w:szCs w:val="16"/>
            </w:rPr>
            <w:t xml:space="preserve">Página </w:t>
          </w:r>
          <w:r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PAGE</w:instrText>
          </w:r>
          <w:r w:rsidRPr="00CB5482">
            <w:rPr>
              <w:sz w:val="16"/>
              <w:szCs w:val="16"/>
            </w:rPr>
            <w:fldChar w:fldCharType="separate"/>
          </w:r>
          <w:r w:rsidR="00C01F82">
            <w:rPr>
              <w:noProof/>
              <w:sz w:val="16"/>
              <w:szCs w:val="16"/>
            </w:rPr>
            <w:t>2</w:t>
          </w:r>
          <w:r w:rsidRPr="00CB5482">
            <w:rPr>
              <w:sz w:val="16"/>
              <w:szCs w:val="16"/>
            </w:rPr>
            <w:fldChar w:fldCharType="end"/>
          </w:r>
          <w:r w:rsidRPr="00CB5482">
            <w:rPr>
              <w:sz w:val="16"/>
              <w:szCs w:val="16"/>
            </w:rPr>
            <w:t xml:space="preserve"> de </w:t>
          </w:r>
          <w:r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NUMPAGES</w:instrText>
          </w:r>
          <w:r w:rsidRPr="00CB5482">
            <w:rPr>
              <w:sz w:val="16"/>
              <w:szCs w:val="16"/>
            </w:rPr>
            <w:fldChar w:fldCharType="separate"/>
          </w:r>
          <w:r w:rsidR="00C01F82">
            <w:rPr>
              <w:noProof/>
              <w:sz w:val="16"/>
              <w:szCs w:val="16"/>
            </w:rPr>
            <w:t>16</w:t>
          </w:r>
          <w:r w:rsidRPr="00CB5482">
            <w:rPr>
              <w:sz w:val="16"/>
              <w:szCs w:val="16"/>
            </w:rPr>
            <w:fldChar w:fldCharType="end"/>
          </w:r>
        </w:p>
      </w:tc>
      <w:tc>
        <w:tcPr>
          <w:tcW w:w="3259" w:type="dxa"/>
        </w:tcPr>
        <w:p w:rsidR="004C56C0" w:rsidRDefault="004C56C0" w:rsidP="00C44989">
          <w:pPr>
            <w:pStyle w:val="Piedepgina"/>
          </w:pPr>
        </w:p>
      </w:tc>
      <w:tc>
        <w:tcPr>
          <w:tcW w:w="3260" w:type="dxa"/>
        </w:tcPr>
        <w:p w:rsidR="004C56C0" w:rsidRDefault="004C56C0" w:rsidP="00C44989">
          <w:pPr>
            <w:pStyle w:val="Piedepgina"/>
            <w:jc w:val="center"/>
          </w:pPr>
        </w:p>
      </w:tc>
      <w:tc>
        <w:tcPr>
          <w:tcW w:w="3260" w:type="dxa"/>
        </w:tcPr>
        <w:p w:rsidR="004C56C0" w:rsidRDefault="004C56C0" w:rsidP="00C44989">
          <w:pPr>
            <w:pStyle w:val="Piedepgina"/>
            <w:jc w:val="center"/>
          </w:pPr>
        </w:p>
      </w:tc>
    </w:tr>
  </w:tbl>
  <w:p w:rsidR="004C56C0" w:rsidRDefault="004C56C0" w:rsidP="00BB6C51">
    <w:pPr>
      <w:pStyle w:val="Piedepgina"/>
      <w:jc w:val="center"/>
    </w:pPr>
  </w:p>
  <w:p w:rsidR="004C56C0" w:rsidRDefault="004C56C0" w:rsidP="00496B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64" w:rsidRDefault="005C4A64">
      <w:r>
        <w:separator/>
      </w:r>
    </w:p>
  </w:footnote>
  <w:footnote w:type="continuationSeparator" w:id="0">
    <w:p w:rsidR="005C4A64" w:rsidRDefault="005C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20A"/>
    <w:multiLevelType w:val="hybridMultilevel"/>
    <w:tmpl w:val="BCEA0060"/>
    <w:lvl w:ilvl="0" w:tplc="0E287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475A2"/>
    <w:multiLevelType w:val="hybridMultilevel"/>
    <w:tmpl w:val="10308252"/>
    <w:lvl w:ilvl="0" w:tplc="789C78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C44BD"/>
    <w:multiLevelType w:val="hybridMultilevel"/>
    <w:tmpl w:val="D500DE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63EE2"/>
    <w:multiLevelType w:val="hybridMultilevel"/>
    <w:tmpl w:val="B624FD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25A17"/>
    <w:multiLevelType w:val="hybridMultilevel"/>
    <w:tmpl w:val="997CC016"/>
    <w:lvl w:ilvl="0" w:tplc="A2868274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57E88"/>
    <w:multiLevelType w:val="hybridMultilevel"/>
    <w:tmpl w:val="F7D416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25486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B183E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8204E"/>
    <w:multiLevelType w:val="hybridMultilevel"/>
    <w:tmpl w:val="BCEA0060"/>
    <w:lvl w:ilvl="0" w:tplc="0E287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235381"/>
    <w:multiLevelType w:val="hybridMultilevel"/>
    <w:tmpl w:val="4D1A43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E58FB"/>
    <w:multiLevelType w:val="hybridMultilevel"/>
    <w:tmpl w:val="E1A624F6"/>
    <w:lvl w:ilvl="0" w:tplc="8B2A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6D14"/>
    <w:multiLevelType w:val="hybridMultilevel"/>
    <w:tmpl w:val="E16EEBF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A453F"/>
    <w:multiLevelType w:val="hybridMultilevel"/>
    <w:tmpl w:val="E1A624F6"/>
    <w:lvl w:ilvl="0" w:tplc="8B2A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346BA"/>
    <w:multiLevelType w:val="hybridMultilevel"/>
    <w:tmpl w:val="FC225E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75E5"/>
    <w:multiLevelType w:val="hybridMultilevel"/>
    <w:tmpl w:val="F7D416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D1334E"/>
    <w:multiLevelType w:val="hybridMultilevel"/>
    <w:tmpl w:val="520C06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04AF9"/>
    <w:multiLevelType w:val="hybridMultilevel"/>
    <w:tmpl w:val="A8C8AABA"/>
    <w:lvl w:ilvl="0" w:tplc="23CCC07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B4F00"/>
    <w:multiLevelType w:val="hybridMultilevel"/>
    <w:tmpl w:val="FC225E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57FF5"/>
    <w:multiLevelType w:val="hybridMultilevel"/>
    <w:tmpl w:val="3940B8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223D37"/>
    <w:multiLevelType w:val="hybridMultilevel"/>
    <w:tmpl w:val="92AC5F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431C79"/>
    <w:multiLevelType w:val="hybridMultilevel"/>
    <w:tmpl w:val="B92C6C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1A3A47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3B2E3C"/>
    <w:multiLevelType w:val="hybridMultilevel"/>
    <w:tmpl w:val="2994A17C"/>
    <w:lvl w:ilvl="0" w:tplc="1FBCF6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A2619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7A2196"/>
    <w:multiLevelType w:val="hybridMultilevel"/>
    <w:tmpl w:val="7EEC96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A153E7"/>
    <w:multiLevelType w:val="hybridMultilevel"/>
    <w:tmpl w:val="EDCC74FE"/>
    <w:lvl w:ilvl="0" w:tplc="41EE99F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4B8C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36649A"/>
    <w:multiLevelType w:val="hybridMultilevel"/>
    <w:tmpl w:val="9788A0E4"/>
    <w:lvl w:ilvl="0" w:tplc="E9F0337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276D77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93E08"/>
    <w:multiLevelType w:val="hybridMultilevel"/>
    <w:tmpl w:val="913AC852"/>
    <w:lvl w:ilvl="0" w:tplc="4FB67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042633"/>
    <w:multiLevelType w:val="hybridMultilevel"/>
    <w:tmpl w:val="6CDEE80C"/>
    <w:lvl w:ilvl="0" w:tplc="521C7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917D6"/>
    <w:multiLevelType w:val="hybridMultilevel"/>
    <w:tmpl w:val="66042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D5AF6"/>
    <w:multiLevelType w:val="hybridMultilevel"/>
    <w:tmpl w:val="9EE095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B51DBB"/>
    <w:multiLevelType w:val="hybridMultilevel"/>
    <w:tmpl w:val="9C640F9A"/>
    <w:lvl w:ilvl="0" w:tplc="B5DC4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AC2BED"/>
    <w:multiLevelType w:val="hybridMultilevel"/>
    <w:tmpl w:val="913AC852"/>
    <w:lvl w:ilvl="0" w:tplc="4FB67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B52000"/>
    <w:multiLevelType w:val="hybridMultilevel"/>
    <w:tmpl w:val="AE268C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A14FB"/>
    <w:multiLevelType w:val="hybridMultilevel"/>
    <w:tmpl w:val="CD9EC5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14438"/>
    <w:multiLevelType w:val="hybridMultilevel"/>
    <w:tmpl w:val="47D411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6A3DCC"/>
    <w:multiLevelType w:val="hybridMultilevel"/>
    <w:tmpl w:val="2696C030"/>
    <w:lvl w:ilvl="0" w:tplc="367477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09382B"/>
    <w:multiLevelType w:val="hybridMultilevel"/>
    <w:tmpl w:val="7EEC96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2D1BF8"/>
    <w:multiLevelType w:val="hybridMultilevel"/>
    <w:tmpl w:val="75081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B06E59"/>
    <w:multiLevelType w:val="hybridMultilevel"/>
    <w:tmpl w:val="92AC5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FC7490"/>
    <w:multiLevelType w:val="hybridMultilevel"/>
    <w:tmpl w:val="3940B8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E6253D"/>
    <w:multiLevelType w:val="hybridMultilevel"/>
    <w:tmpl w:val="CC6028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B35593"/>
    <w:multiLevelType w:val="hybridMultilevel"/>
    <w:tmpl w:val="913AC852"/>
    <w:lvl w:ilvl="0" w:tplc="4FB67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7737B3"/>
    <w:multiLevelType w:val="hybridMultilevel"/>
    <w:tmpl w:val="ABD82CFA"/>
    <w:lvl w:ilvl="0" w:tplc="DE40F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587B6D"/>
    <w:multiLevelType w:val="hybridMultilevel"/>
    <w:tmpl w:val="3FE6E2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A12F87"/>
    <w:multiLevelType w:val="hybridMultilevel"/>
    <w:tmpl w:val="9C640F9A"/>
    <w:lvl w:ilvl="0" w:tplc="B5DC4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7912EC"/>
    <w:multiLevelType w:val="hybridMultilevel"/>
    <w:tmpl w:val="9C640F9A"/>
    <w:lvl w:ilvl="0" w:tplc="B5DC4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9C2BD1"/>
    <w:multiLevelType w:val="hybridMultilevel"/>
    <w:tmpl w:val="677C9A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1A72F9"/>
    <w:multiLevelType w:val="hybridMultilevel"/>
    <w:tmpl w:val="011014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95AB7"/>
    <w:multiLevelType w:val="hybridMultilevel"/>
    <w:tmpl w:val="4D1A43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831853"/>
    <w:multiLevelType w:val="hybridMultilevel"/>
    <w:tmpl w:val="B92C6C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DA46D01"/>
    <w:multiLevelType w:val="hybridMultilevel"/>
    <w:tmpl w:val="3FE6E2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D663EB"/>
    <w:multiLevelType w:val="hybridMultilevel"/>
    <w:tmpl w:val="1B1C6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BF3228"/>
    <w:multiLevelType w:val="hybridMultilevel"/>
    <w:tmpl w:val="A64C5D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88A0EEA"/>
    <w:multiLevelType w:val="hybridMultilevel"/>
    <w:tmpl w:val="F7D416F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8A145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 w15:restartNumberingAfterBreak="0">
    <w:nsid w:val="7894187A"/>
    <w:multiLevelType w:val="hybridMultilevel"/>
    <w:tmpl w:val="459C02CE"/>
    <w:lvl w:ilvl="0" w:tplc="E446D1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E125611"/>
    <w:multiLevelType w:val="hybridMultilevel"/>
    <w:tmpl w:val="0D0E38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2"/>
  </w:num>
  <w:num w:numId="3">
    <w:abstractNumId w:val="49"/>
  </w:num>
  <w:num w:numId="4">
    <w:abstractNumId w:val="18"/>
  </w:num>
  <w:num w:numId="5">
    <w:abstractNumId w:val="43"/>
  </w:num>
  <w:num w:numId="6">
    <w:abstractNumId w:val="10"/>
  </w:num>
  <w:num w:numId="7">
    <w:abstractNumId w:val="30"/>
  </w:num>
  <w:num w:numId="8">
    <w:abstractNumId w:val="31"/>
  </w:num>
  <w:num w:numId="9">
    <w:abstractNumId w:val="4"/>
  </w:num>
  <w:num w:numId="10">
    <w:abstractNumId w:val="37"/>
  </w:num>
  <w:num w:numId="11">
    <w:abstractNumId w:val="53"/>
  </w:num>
  <w:num w:numId="12">
    <w:abstractNumId w:val="11"/>
  </w:num>
  <w:num w:numId="13">
    <w:abstractNumId w:val="38"/>
  </w:num>
  <w:num w:numId="14">
    <w:abstractNumId w:val="58"/>
  </w:num>
  <w:num w:numId="15">
    <w:abstractNumId w:val="16"/>
  </w:num>
  <w:num w:numId="16">
    <w:abstractNumId w:val="21"/>
  </w:num>
  <w:num w:numId="17">
    <w:abstractNumId w:val="35"/>
  </w:num>
  <w:num w:numId="18">
    <w:abstractNumId w:val="13"/>
  </w:num>
  <w:num w:numId="19">
    <w:abstractNumId w:val="24"/>
  </w:num>
  <w:num w:numId="20">
    <w:abstractNumId w:val="51"/>
  </w:num>
  <w:num w:numId="21">
    <w:abstractNumId w:val="14"/>
  </w:num>
  <w:num w:numId="22">
    <w:abstractNumId w:val="41"/>
  </w:num>
  <w:num w:numId="23">
    <w:abstractNumId w:val="26"/>
  </w:num>
  <w:num w:numId="24">
    <w:abstractNumId w:val="9"/>
  </w:num>
  <w:num w:numId="25">
    <w:abstractNumId w:val="36"/>
  </w:num>
  <w:num w:numId="26">
    <w:abstractNumId w:val="23"/>
  </w:num>
  <w:num w:numId="27">
    <w:abstractNumId w:val="27"/>
  </w:num>
  <w:num w:numId="28">
    <w:abstractNumId w:val="59"/>
  </w:num>
  <w:num w:numId="29">
    <w:abstractNumId w:val="47"/>
  </w:num>
  <w:num w:numId="30">
    <w:abstractNumId w:val="32"/>
  </w:num>
  <w:num w:numId="31">
    <w:abstractNumId w:val="29"/>
  </w:num>
  <w:num w:numId="32">
    <w:abstractNumId w:val="44"/>
  </w:num>
  <w:num w:numId="33">
    <w:abstractNumId w:val="34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25"/>
  </w:num>
  <w:num w:numId="39">
    <w:abstractNumId w:val="55"/>
  </w:num>
  <w:num w:numId="40">
    <w:abstractNumId w:val="15"/>
  </w:num>
  <w:num w:numId="41">
    <w:abstractNumId w:val="3"/>
  </w:num>
  <w:num w:numId="42">
    <w:abstractNumId w:val="56"/>
  </w:num>
  <w:num w:numId="43">
    <w:abstractNumId w:val="33"/>
  </w:num>
  <w:num w:numId="44">
    <w:abstractNumId w:val="39"/>
  </w:num>
  <w:num w:numId="45">
    <w:abstractNumId w:val="48"/>
  </w:num>
  <w:num w:numId="46">
    <w:abstractNumId w:val="2"/>
  </w:num>
  <w:num w:numId="47">
    <w:abstractNumId w:val="45"/>
  </w:num>
  <w:num w:numId="48">
    <w:abstractNumId w:val="20"/>
  </w:num>
  <w:num w:numId="49">
    <w:abstractNumId w:val="8"/>
  </w:num>
  <w:num w:numId="50">
    <w:abstractNumId w:val="52"/>
  </w:num>
  <w:num w:numId="51">
    <w:abstractNumId w:val="0"/>
  </w:num>
  <w:num w:numId="52">
    <w:abstractNumId w:val="46"/>
  </w:num>
  <w:num w:numId="53">
    <w:abstractNumId w:val="12"/>
  </w:num>
  <w:num w:numId="54">
    <w:abstractNumId w:val="50"/>
  </w:num>
  <w:num w:numId="55">
    <w:abstractNumId w:val="42"/>
  </w:num>
  <w:num w:numId="56">
    <w:abstractNumId w:val="17"/>
  </w:num>
  <w:num w:numId="57">
    <w:abstractNumId w:val="54"/>
  </w:num>
  <w:num w:numId="58">
    <w:abstractNumId w:val="6"/>
  </w:num>
  <w:num w:numId="59">
    <w:abstractNumId w:val="1"/>
  </w:num>
  <w:num w:numId="6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B9"/>
    <w:rsid w:val="000044F6"/>
    <w:rsid w:val="000071FC"/>
    <w:rsid w:val="0001249E"/>
    <w:rsid w:val="000200EC"/>
    <w:rsid w:val="000217EB"/>
    <w:rsid w:val="000276E6"/>
    <w:rsid w:val="00036740"/>
    <w:rsid w:val="000423A3"/>
    <w:rsid w:val="000435E1"/>
    <w:rsid w:val="00045035"/>
    <w:rsid w:val="000457F1"/>
    <w:rsid w:val="000464FB"/>
    <w:rsid w:val="000530F9"/>
    <w:rsid w:val="00055C3E"/>
    <w:rsid w:val="00055E29"/>
    <w:rsid w:val="00066717"/>
    <w:rsid w:val="00066B7D"/>
    <w:rsid w:val="00067906"/>
    <w:rsid w:val="00070AC6"/>
    <w:rsid w:val="00072E27"/>
    <w:rsid w:val="00074375"/>
    <w:rsid w:val="00090F8A"/>
    <w:rsid w:val="00095CCD"/>
    <w:rsid w:val="00096C93"/>
    <w:rsid w:val="00096FE7"/>
    <w:rsid w:val="000A55F6"/>
    <w:rsid w:val="000B637C"/>
    <w:rsid w:val="000B6A4C"/>
    <w:rsid w:val="000C10EE"/>
    <w:rsid w:val="000C1CC9"/>
    <w:rsid w:val="000E0860"/>
    <w:rsid w:val="000E1502"/>
    <w:rsid w:val="000E29E9"/>
    <w:rsid w:val="000E5E14"/>
    <w:rsid w:val="000E631F"/>
    <w:rsid w:val="000E66FB"/>
    <w:rsid w:val="000E6FEA"/>
    <w:rsid w:val="000F0D45"/>
    <w:rsid w:val="000F0DE7"/>
    <w:rsid w:val="000F1ACE"/>
    <w:rsid w:val="0010169F"/>
    <w:rsid w:val="00101E2F"/>
    <w:rsid w:val="00105A7C"/>
    <w:rsid w:val="00112A56"/>
    <w:rsid w:val="00124D8F"/>
    <w:rsid w:val="001257CB"/>
    <w:rsid w:val="00126152"/>
    <w:rsid w:val="00127E84"/>
    <w:rsid w:val="00130F0A"/>
    <w:rsid w:val="00131FBC"/>
    <w:rsid w:val="001331BF"/>
    <w:rsid w:val="00133622"/>
    <w:rsid w:val="001456D7"/>
    <w:rsid w:val="001475E1"/>
    <w:rsid w:val="00147F5A"/>
    <w:rsid w:val="001500DA"/>
    <w:rsid w:val="0015109B"/>
    <w:rsid w:val="00151D47"/>
    <w:rsid w:val="0015632F"/>
    <w:rsid w:val="00157C93"/>
    <w:rsid w:val="0016165D"/>
    <w:rsid w:val="001616EA"/>
    <w:rsid w:val="0016297A"/>
    <w:rsid w:val="001652AC"/>
    <w:rsid w:val="00167205"/>
    <w:rsid w:val="00172655"/>
    <w:rsid w:val="00174E76"/>
    <w:rsid w:val="00176905"/>
    <w:rsid w:val="001861B3"/>
    <w:rsid w:val="00195E85"/>
    <w:rsid w:val="001A2AF6"/>
    <w:rsid w:val="001B0569"/>
    <w:rsid w:val="001C0155"/>
    <w:rsid w:val="001C55F1"/>
    <w:rsid w:val="001D0745"/>
    <w:rsid w:val="001D1041"/>
    <w:rsid w:val="001D49C7"/>
    <w:rsid w:val="001D4DAE"/>
    <w:rsid w:val="001D65D7"/>
    <w:rsid w:val="001D6B44"/>
    <w:rsid w:val="001E6F51"/>
    <w:rsid w:val="001E7F27"/>
    <w:rsid w:val="001F09D3"/>
    <w:rsid w:val="001F46B8"/>
    <w:rsid w:val="0021155E"/>
    <w:rsid w:val="00211E50"/>
    <w:rsid w:val="00215109"/>
    <w:rsid w:val="0022007A"/>
    <w:rsid w:val="00220944"/>
    <w:rsid w:val="00222BB5"/>
    <w:rsid w:val="0022549F"/>
    <w:rsid w:val="00231703"/>
    <w:rsid w:val="002337C4"/>
    <w:rsid w:val="00233823"/>
    <w:rsid w:val="00233C0F"/>
    <w:rsid w:val="0023709A"/>
    <w:rsid w:val="00253411"/>
    <w:rsid w:val="002606DD"/>
    <w:rsid w:val="0026395E"/>
    <w:rsid w:val="00264EBD"/>
    <w:rsid w:val="00265354"/>
    <w:rsid w:val="00271F39"/>
    <w:rsid w:val="00274AD6"/>
    <w:rsid w:val="00277CB6"/>
    <w:rsid w:val="00281494"/>
    <w:rsid w:val="00282E23"/>
    <w:rsid w:val="002847DD"/>
    <w:rsid w:val="002877CC"/>
    <w:rsid w:val="002901A6"/>
    <w:rsid w:val="00291BB9"/>
    <w:rsid w:val="00293AB6"/>
    <w:rsid w:val="002957AE"/>
    <w:rsid w:val="002970C2"/>
    <w:rsid w:val="002A39AE"/>
    <w:rsid w:val="002A696A"/>
    <w:rsid w:val="002B0585"/>
    <w:rsid w:val="002B3742"/>
    <w:rsid w:val="002C2C15"/>
    <w:rsid w:val="002C480D"/>
    <w:rsid w:val="002C67C8"/>
    <w:rsid w:val="002C687E"/>
    <w:rsid w:val="002C7A36"/>
    <w:rsid w:val="002D0C37"/>
    <w:rsid w:val="002D2580"/>
    <w:rsid w:val="002D320B"/>
    <w:rsid w:val="002E225C"/>
    <w:rsid w:val="002E2590"/>
    <w:rsid w:val="002E2A41"/>
    <w:rsid w:val="002E4117"/>
    <w:rsid w:val="002E5116"/>
    <w:rsid w:val="002E52FB"/>
    <w:rsid w:val="002E63B5"/>
    <w:rsid w:val="002F083A"/>
    <w:rsid w:val="002F2CA0"/>
    <w:rsid w:val="0030700E"/>
    <w:rsid w:val="00313349"/>
    <w:rsid w:val="00316F02"/>
    <w:rsid w:val="00320908"/>
    <w:rsid w:val="003225D1"/>
    <w:rsid w:val="00322C9D"/>
    <w:rsid w:val="00323448"/>
    <w:rsid w:val="003250FF"/>
    <w:rsid w:val="00331BD7"/>
    <w:rsid w:val="00332CBD"/>
    <w:rsid w:val="00336EBF"/>
    <w:rsid w:val="003435E0"/>
    <w:rsid w:val="003503C5"/>
    <w:rsid w:val="00352AFF"/>
    <w:rsid w:val="00364F64"/>
    <w:rsid w:val="0036642E"/>
    <w:rsid w:val="00370F8B"/>
    <w:rsid w:val="003761E2"/>
    <w:rsid w:val="003932A0"/>
    <w:rsid w:val="003949F4"/>
    <w:rsid w:val="00395536"/>
    <w:rsid w:val="003A0B42"/>
    <w:rsid w:val="003A68FD"/>
    <w:rsid w:val="003B4117"/>
    <w:rsid w:val="003B634C"/>
    <w:rsid w:val="003B7C27"/>
    <w:rsid w:val="003C5762"/>
    <w:rsid w:val="003C7FA6"/>
    <w:rsid w:val="003E03BD"/>
    <w:rsid w:val="003E3EFA"/>
    <w:rsid w:val="003F7C92"/>
    <w:rsid w:val="00403476"/>
    <w:rsid w:val="004118D4"/>
    <w:rsid w:val="00411F35"/>
    <w:rsid w:val="0042157F"/>
    <w:rsid w:val="00421DD5"/>
    <w:rsid w:val="00422D02"/>
    <w:rsid w:val="00424230"/>
    <w:rsid w:val="0042519F"/>
    <w:rsid w:val="004332CD"/>
    <w:rsid w:val="004431E7"/>
    <w:rsid w:val="00443D9E"/>
    <w:rsid w:val="00447166"/>
    <w:rsid w:val="004558C1"/>
    <w:rsid w:val="004608CC"/>
    <w:rsid w:val="00465ECA"/>
    <w:rsid w:val="00467AE0"/>
    <w:rsid w:val="00475243"/>
    <w:rsid w:val="004755F8"/>
    <w:rsid w:val="004758FD"/>
    <w:rsid w:val="00483B6B"/>
    <w:rsid w:val="00483E71"/>
    <w:rsid w:val="004904C2"/>
    <w:rsid w:val="00491D4D"/>
    <w:rsid w:val="004920F5"/>
    <w:rsid w:val="00494256"/>
    <w:rsid w:val="00496B86"/>
    <w:rsid w:val="0049726C"/>
    <w:rsid w:val="004A17C3"/>
    <w:rsid w:val="004A1B97"/>
    <w:rsid w:val="004A398B"/>
    <w:rsid w:val="004B20C7"/>
    <w:rsid w:val="004B39EB"/>
    <w:rsid w:val="004C298B"/>
    <w:rsid w:val="004C53D3"/>
    <w:rsid w:val="004C56C0"/>
    <w:rsid w:val="004C6AE6"/>
    <w:rsid w:val="004C7B98"/>
    <w:rsid w:val="004D500F"/>
    <w:rsid w:val="004D6B62"/>
    <w:rsid w:val="004E0853"/>
    <w:rsid w:val="004E1381"/>
    <w:rsid w:val="004F3516"/>
    <w:rsid w:val="004F512D"/>
    <w:rsid w:val="0050031B"/>
    <w:rsid w:val="00500DA7"/>
    <w:rsid w:val="00503DF9"/>
    <w:rsid w:val="00503E55"/>
    <w:rsid w:val="0050651E"/>
    <w:rsid w:val="0051020D"/>
    <w:rsid w:val="00510D94"/>
    <w:rsid w:val="005130C5"/>
    <w:rsid w:val="00513ACA"/>
    <w:rsid w:val="00514863"/>
    <w:rsid w:val="00517DF2"/>
    <w:rsid w:val="00520108"/>
    <w:rsid w:val="00521889"/>
    <w:rsid w:val="005218BB"/>
    <w:rsid w:val="00521B17"/>
    <w:rsid w:val="0052318F"/>
    <w:rsid w:val="005273A7"/>
    <w:rsid w:val="00533034"/>
    <w:rsid w:val="00537463"/>
    <w:rsid w:val="005429DF"/>
    <w:rsid w:val="0055579D"/>
    <w:rsid w:val="00555994"/>
    <w:rsid w:val="00555FFF"/>
    <w:rsid w:val="005569A4"/>
    <w:rsid w:val="00563FA7"/>
    <w:rsid w:val="00565E20"/>
    <w:rsid w:val="00567CAC"/>
    <w:rsid w:val="00570B10"/>
    <w:rsid w:val="00571190"/>
    <w:rsid w:val="0057418D"/>
    <w:rsid w:val="00575141"/>
    <w:rsid w:val="00575771"/>
    <w:rsid w:val="005772EB"/>
    <w:rsid w:val="00580948"/>
    <w:rsid w:val="00582848"/>
    <w:rsid w:val="00583C2E"/>
    <w:rsid w:val="00584D3F"/>
    <w:rsid w:val="00585252"/>
    <w:rsid w:val="00590894"/>
    <w:rsid w:val="00590BC7"/>
    <w:rsid w:val="005A1422"/>
    <w:rsid w:val="005A2E00"/>
    <w:rsid w:val="005A4AC0"/>
    <w:rsid w:val="005A4F1E"/>
    <w:rsid w:val="005A6E1E"/>
    <w:rsid w:val="005B071E"/>
    <w:rsid w:val="005B5B57"/>
    <w:rsid w:val="005B60C9"/>
    <w:rsid w:val="005C0101"/>
    <w:rsid w:val="005C4A64"/>
    <w:rsid w:val="005C4DD0"/>
    <w:rsid w:val="005E3CE8"/>
    <w:rsid w:val="005E4597"/>
    <w:rsid w:val="005E565C"/>
    <w:rsid w:val="005F24B8"/>
    <w:rsid w:val="005F4432"/>
    <w:rsid w:val="0060114C"/>
    <w:rsid w:val="00601C47"/>
    <w:rsid w:val="00602DF0"/>
    <w:rsid w:val="00606104"/>
    <w:rsid w:val="00606D50"/>
    <w:rsid w:val="0061071E"/>
    <w:rsid w:val="006107E5"/>
    <w:rsid w:val="00611176"/>
    <w:rsid w:val="006122DB"/>
    <w:rsid w:val="006176D2"/>
    <w:rsid w:val="00622615"/>
    <w:rsid w:val="00636CCE"/>
    <w:rsid w:val="006430AA"/>
    <w:rsid w:val="00651B34"/>
    <w:rsid w:val="00653EBB"/>
    <w:rsid w:val="00655753"/>
    <w:rsid w:val="00656D80"/>
    <w:rsid w:val="00656DE5"/>
    <w:rsid w:val="00671250"/>
    <w:rsid w:val="00674444"/>
    <w:rsid w:val="00681766"/>
    <w:rsid w:val="006819CE"/>
    <w:rsid w:val="00681D3B"/>
    <w:rsid w:val="00683C04"/>
    <w:rsid w:val="006A0D18"/>
    <w:rsid w:val="006A0D87"/>
    <w:rsid w:val="006A0FB7"/>
    <w:rsid w:val="006B30D8"/>
    <w:rsid w:val="006B5C28"/>
    <w:rsid w:val="006B6A83"/>
    <w:rsid w:val="006C09AC"/>
    <w:rsid w:val="006C1FF2"/>
    <w:rsid w:val="006C34B7"/>
    <w:rsid w:val="006C470D"/>
    <w:rsid w:val="006C6CAD"/>
    <w:rsid w:val="006D3199"/>
    <w:rsid w:val="006D4118"/>
    <w:rsid w:val="006D5269"/>
    <w:rsid w:val="006D616E"/>
    <w:rsid w:val="006D7377"/>
    <w:rsid w:val="006D755D"/>
    <w:rsid w:val="006E46A9"/>
    <w:rsid w:val="006F2B10"/>
    <w:rsid w:val="0070054B"/>
    <w:rsid w:val="00713677"/>
    <w:rsid w:val="00714D0C"/>
    <w:rsid w:val="007212B3"/>
    <w:rsid w:val="00721C0F"/>
    <w:rsid w:val="00723608"/>
    <w:rsid w:val="00723BFD"/>
    <w:rsid w:val="00724854"/>
    <w:rsid w:val="0073462A"/>
    <w:rsid w:val="00735D16"/>
    <w:rsid w:val="00746135"/>
    <w:rsid w:val="007503EE"/>
    <w:rsid w:val="00753F20"/>
    <w:rsid w:val="00763E51"/>
    <w:rsid w:val="00766FF6"/>
    <w:rsid w:val="007672DB"/>
    <w:rsid w:val="0077060E"/>
    <w:rsid w:val="00774440"/>
    <w:rsid w:val="00780911"/>
    <w:rsid w:val="00780D4A"/>
    <w:rsid w:val="007822ED"/>
    <w:rsid w:val="00783068"/>
    <w:rsid w:val="007872BD"/>
    <w:rsid w:val="00791306"/>
    <w:rsid w:val="00792D28"/>
    <w:rsid w:val="007940D3"/>
    <w:rsid w:val="00795714"/>
    <w:rsid w:val="00796DCF"/>
    <w:rsid w:val="00797C0B"/>
    <w:rsid w:val="007A2D3A"/>
    <w:rsid w:val="007A7AA1"/>
    <w:rsid w:val="007B2CC6"/>
    <w:rsid w:val="007B2E70"/>
    <w:rsid w:val="007B3B85"/>
    <w:rsid w:val="007D3023"/>
    <w:rsid w:val="007D3F14"/>
    <w:rsid w:val="007D5645"/>
    <w:rsid w:val="007E5BE8"/>
    <w:rsid w:val="007E6D41"/>
    <w:rsid w:val="007F370F"/>
    <w:rsid w:val="007F4D91"/>
    <w:rsid w:val="007F52B0"/>
    <w:rsid w:val="007F7252"/>
    <w:rsid w:val="00802085"/>
    <w:rsid w:val="008062D7"/>
    <w:rsid w:val="0081177A"/>
    <w:rsid w:val="008222E1"/>
    <w:rsid w:val="008232D2"/>
    <w:rsid w:val="00824A2F"/>
    <w:rsid w:val="0082649C"/>
    <w:rsid w:val="0082732A"/>
    <w:rsid w:val="00831EAB"/>
    <w:rsid w:val="008351EB"/>
    <w:rsid w:val="00837EE1"/>
    <w:rsid w:val="008442C6"/>
    <w:rsid w:val="00850AF0"/>
    <w:rsid w:val="00851292"/>
    <w:rsid w:val="008515B9"/>
    <w:rsid w:val="00855EF2"/>
    <w:rsid w:val="00857E64"/>
    <w:rsid w:val="00864084"/>
    <w:rsid w:val="00864F21"/>
    <w:rsid w:val="00872CD5"/>
    <w:rsid w:val="008805C6"/>
    <w:rsid w:val="00880DEC"/>
    <w:rsid w:val="008837B3"/>
    <w:rsid w:val="00883EEA"/>
    <w:rsid w:val="0088523F"/>
    <w:rsid w:val="0088586D"/>
    <w:rsid w:val="0088591E"/>
    <w:rsid w:val="00885EF7"/>
    <w:rsid w:val="00886D7B"/>
    <w:rsid w:val="00890F03"/>
    <w:rsid w:val="008926D5"/>
    <w:rsid w:val="00894431"/>
    <w:rsid w:val="008963F9"/>
    <w:rsid w:val="008976E6"/>
    <w:rsid w:val="008A4F1B"/>
    <w:rsid w:val="008A6CC6"/>
    <w:rsid w:val="008C13CE"/>
    <w:rsid w:val="008C2A2A"/>
    <w:rsid w:val="008D219C"/>
    <w:rsid w:val="008D6F82"/>
    <w:rsid w:val="008E28C9"/>
    <w:rsid w:val="008E3955"/>
    <w:rsid w:val="008E614B"/>
    <w:rsid w:val="008E7475"/>
    <w:rsid w:val="008E7ED6"/>
    <w:rsid w:val="008F0CA0"/>
    <w:rsid w:val="008F14AA"/>
    <w:rsid w:val="008F354A"/>
    <w:rsid w:val="008F6F52"/>
    <w:rsid w:val="00900B4F"/>
    <w:rsid w:val="00901091"/>
    <w:rsid w:val="009051EC"/>
    <w:rsid w:val="00905C40"/>
    <w:rsid w:val="00906B00"/>
    <w:rsid w:val="00910E8E"/>
    <w:rsid w:val="00912223"/>
    <w:rsid w:val="00913709"/>
    <w:rsid w:val="00914566"/>
    <w:rsid w:val="00914C63"/>
    <w:rsid w:val="00916982"/>
    <w:rsid w:val="00917812"/>
    <w:rsid w:val="00920568"/>
    <w:rsid w:val="0092166C"/>
    <w:rsid w:val="00922AAE"/>
    <w:rsid w:val="009253A0"/>
    <w:rsid w:val="0092753B"/>
    <w:rsid w:val="00927FC5"/>
    <w:rsid w:val="0093037C"/>
    <w:rsid w:val="009310B0"/>
    <w:rsid w:val="009319E2"/>
    <w:rsid w:val="009351C6"/>
    <w:rsid w:val="00941A99"/>
    <w:rsid w:val="0094268D"/>
    <w:rsid w:val="00942E5D"/>
    <w:rsid w:val="00944001"/>
    <w:rsid w:val="00945B2E"/>
    <w:rsid w:val="009467E7"/>
    <w:rsid w:val="00971763"/>
    <w:rsid w:val="00973DDC"/>
    <w:rsid w:val="00975B8C"/>
    <w:rsid w:val="00982390"/>
    <w:rsid w:val="0098305E"/>
    <w:rsid w:val="00983B90"/>
    <w:rsid w:val="00990224"/>
    <w:rsid w:val="00990450"/>
    <w:rsid w:val="00990EA1"/>
    <w:rsid w:val="009A01B3"/>
    <w:rsid w:val="009A19C1"/>
    <w:rsid w:val="009A2759"/>
    <w:rsid w:val="009B0A49"/>
    <w:rsid w:val="009B338E"/>
    <w:rsid w:val="009B454B"/>
    <w:rsid w:val="009B5587"/>
    <w:rsid w:val="009B5A06"/>
    <w:rsid w:val="009C2385"/>
    <w:rsid w:val="009C5DEE"/>
    <w:rsid w:val="009C72DB"/>
    <w:rsid w:val="009D021F"/>
    <w:rsid w:val="009D3598"/>
    <w:rsid w:val="009D7179"/>
    <w:rsid w:val="009E2026"/>
    <w:rsid w:val="009E40AE"/>
    <w:rsid w:val="009E5970"/>
    <w:rsid w:val="009E70C5"/>
    <w:rsid w:val="009F1E7A"/>
    <w:rsid w:val="009F2B4D"/>
    <w:rsid w:val="009F2E50"/>
    <w:rsid w:val="009F71DB"/>
    <w:rsid w:val="00A01572"/>
    <w:rsid w:val="00A04D9F"/>
    <w:rsid w:val="00A0640E"/>
    <w:rsid w:val="00A1177C"/>
    <w:rsid w:val="00A11FA2"/>
    <w:rsid w:val="00A14118"/>
    <w:rsid w:val="00A14CE1"/>
    <w:rsid w:val="00A213F2"/>
    <w:rsid w:val="00A21E08"/>
    <w:rsid w:val="00A21E61"/>
    <w:rsid w:val="00A22E28"/>
    <w:rsid w:val="00A2602B"/>
    <w:rsid w:val="00A35E6D"/>
    <w:rsid w:val="00A40CE6"/>
    <w:rsid w:val="00A42DF9"/>
    <w:rsid w:val="00A5076D"/>
    <w:rsid w:val="00A514BB"/>
    <w:rsid w:val="00A54623"/>
    <w:rsid w:val="00A54F74"/>
    <w:rsid w:val="00A55BA9"/>
    <w:rsid w:val="00A646B1"/>
    <w:rsid w:val="00A653D0"/>
    <w:rsid w:val="00A66667"/>
    <w:rsid w:val="00A6749E"/>
    <w:rsid w:val="00A70FB8"/>
    <w:rsid w:val="00A74263"/>
    <w:rsid w:val="00A77784"/>
    <w:rsid w:val="00A77BE2"/>
    <w:rsid w:val="00A823A7"/>
    <w:rsid w:val="00A8373A"/>
    <w:rsid w:val="00A85C42"/>
    <w:rsid w:val="00A92381"/>
    <w:rsid w:val="00A926E6"/>
    <w:rsid w:val="00A92AC7"/>
    <w:rsid w:val="00A952AC"/>
    <w:rsid w:val="00AA106C"/>
    <w:rsid w:val="00AA14EA"/>
    <w:rsid w:val="00AA1B1C"/>
    <w:rsid w:val="00AA71FA"/>
    <w:rsid w:val="00AA7212"/>
    <w:rsid w:val="00AB0FE1"/>
    <w:rsid w:val="00AB3AD8"/>
    <w:rsid w:val="00AB48D4"/>
    <w:rsid w:val="00AB7FF4"/>
    <w:rsid w:val="00AC2B0F"/>
    <w:rsid w:val="00AC5792"/>
    <w:rsid w:val="00AC5E49"/>
    <w:rsid w:val="00AD02A0"/>
    <w:rsid w:val="00AD0B43"/>
    <w:rsid w:val="00AD3717"/>
    <w:rsid w:val="00AE1FA8"/>
    <w:rsid w:val="00AE24ED"/>
    <w:rsid w:val="00AE263B"/>
    <w:rsid w:val="00AE40CF"/>
    <w:rsid w:val="00AE585F"/>
    <w:rsid w:val="00AE6C8D"/>
    <w:rsid w:val="00AF12F4"/>
    <w:rsid w:val="00AF34E5"/>
    <w:rsid w:val="00AF457B"/>
    <w:rsid w:val="00AF56B2"/>
    <w:rsid w:val="00B00EDC"/>
    <w:rsid w:val="00B012CF"/>
    <w:rsid w:val="00B04983"/>
    <w:rsid w:val="00B058E2"/>
    <w:rsid w:val="00B05967"/>
    <w:rsid w:val="00B105AF"/>
    <w:rsid w:val="00B10D63"/>
    <w:rsid w:val="00B12762"/>
    <w:rsid w:val="00B17B55"/>
    <w:rsid w:val="00B17E98"/>
    <w:rsid w:val="00B17FD7"/>
    <w:rsid w:val="00B25028"/>
    <w:rsid w:val="00B27FAD"/>
    <w:rsid w:val="00B33252"/>
    <w:rsid w:val="00B33CAA"/>
    <w:rsid w:val="00B36614"/>
    <w:rsid w:val="00B36ADB"/>
    <w:rsid w:val="00B454A7"/>
    <w:rsid w:val="00B46AA4"/>
    <w:rsid w:val="00B53D78"/>
    <w:rsid w:val="00B568DE"/>
    <w:rsid w:val="00B62B9B"/>
    <w:rsid w:val="00B67A9B"/>
    <w:rsid w:val="00B70F13"/>
    <w:rsid w:val="00B76886"/>
    <w:rsid w:val="00B81E15"/>
    <w:rsid w:val="00B82023"/>
    <w:rsid w:val="00B844B9"/>
    <w:rsid w:val="00B90D5B"/>
    <w:rsid w:val="00B96C34"/>
    <w:rsid w:val="00BA026F"/>
    <w:rsid w:val="00BA1454"/>
    <w:rsid w:val="00BA196C"/>
    <w:rsid w:val="00BA4892"/>
    <w:rsid w:val="00BA48C5"/>
    <w:rsid w:val="00BB2711"/>
    <w:rsid w:val="00BB666E"/>
    <w:rsid w:val="00BB6953"/>
    <w:rsid w:val="00BB6C51"/>
    <w:rsid w:val="00BC5F4E"/>
    <w:rsid w:val="00BD090C"/>
    <w:rsid w:val="00BD112C"/>
    <w:rsid w:val="00BD3304"/>
    <w:rsid w:val="00BD4455"/>
    <w:rsid w:val="00BD489F"/>
    <w:rsid w:val="00BE5259"/>
    <w:rsid w:val="00BF1A70"/>
    <w:rsid w:val="00BF5A4E"/>
    <w:rsid w:val="00BF7DDE"/>
    <w:rsid w:val="00C00A44"/>
    <w:rsid w:val="00C01F82"/>
    <w:rsid w:val="00C106B8"/>
    <w:rsid w:val="00C10829"/>
    <w:rsid w:val="00C1768D"/>
    <w:rsid w:val="00C25FAD"/>
    <w:rsid w:val="00C31101"/>
    <w:rsid w:val="00C3512E"/>
    <w:rsid w:val="00C37C74"/>
    <w:rsid w:val="00C41DB9"/>
    <w:rsid w:val="00C43771"/>
    <w:rsid w:val="00C444C0"/>
    <w:rsid w:val="00C44989"/>
    <w:rsid w:val="00C46E94"/>
    <w:rsid w:val="00C53939"/>
    <w:rsid w:val="00C55795"/>
    <w:rsid w:val="00C6124B"/>
    <w:rsid w:val="00C65F8C"/>
    <w:rsid w:val="00C73D2D"/>
    <w:rsid w:val="00C7633F"/>
    <w:rsid w:val="00C76860"/>
    <w:rsid w:val="00C83418"/>
    <w:rsid w:val="00C86CAA"/>
    <w:rsid w:val="00CA27CC"/>
    <w:rsid w:val="00CA4EE7"/>
    <w:rsid w:val="00CB63E6"/>
    <w:rsid w:val="00CC0E33"/>
    <w:rsid w:val="00CD0335"/>
    <w:rsid w:val="00CD0624"/>
    <w:rsid w:val="00CD45F5"/>
    <w:rsid w:val="00CD6886"/>
    <w:rsid w:val="00CE2058"/>
    <w:rsid w:val="00CE446B"/>
    <w:rsid w:val="00CE70DD"/>
    <w:rsid w:val="00CE7BF9"/>
    <w:rsid w:val="00CF0776"/>
    <w:rsid w:val="00CF63FA"/>
    <w:rsid w:val="00D11B9A"/>
    <w:rsid w:val="00D135D7"/>
    <w:rsid w:val="00D21694"/>
    <w:rsid w:val="00D30F17"/>
    <w:rsid w:val="00D31EFA"/>
    <w:rsid w:val="00D34F1D"/>
    <w:rsid w:val="00D36DC7"/>
    <w:rsid w:val="00D40940"/>
    <w:rsid w:val="00D41A18"/>
    <w:rsid w:val="00D433A0"/>
    <w:rsid w:val="00D44AEF"/>
    <w:rsid w:val="00D45C0B"/>
    <w:rsid w:val="00D5040D"/>
    <w:rsid w:val="00D57418"/>
    <w:rsid w:val="00D57535"/>
    <w:rsid w:val="00D609DA"/>
    <w:rsid w:val="00D6222C"/>
    <w:rsid w:val="00D6224B"/>
    <w:rsid w:val="00D66AC0"/>
    <w:rsid w:val="00D67F81"/>
    <w:rsid w:val="00D71D3F"/>
    <w:rsid w:val="00D73A97"/>
    <w:rsid w:val="00D8016F"/>
    <w:rsid w:val="00D80E6F"/>
    <w:rsid w:val="00D83792"/>
    <w:rsid w:val="00D90AD8"/>
    <w:rsid w:val="00D91E5E"/>
    <w:rsid w:val="00D97ADC"/>
    <w:rsid w:val="00DA6D94"/>
    <w:rsid w:val="00DB25C8"/>
    <w:rsid w:val="00DB5E73"/>
    <w:rsid w:val="00DC0102"/>
    <w:rsid w:val="00DC0E24"/>
    <w:rsid w:val="00DC7EC4"/>
    <w:rsid w:val="00DD0CAE"/>
    <w:rsid w:val="00DD5C47"/>
    <w:rsid w:val="00DD5DFC"/>
    <w:rsid w:val="00DD5F79"/>
    <w:rsid w:val="00DD756B"/>
    <w:rsid w:val="00DE66BD"/>
    <w:rsid w:val="00DE6C2A"/>
    <w:rsid w:val="00DF139B"/>
    <w:rsid w:val="00DF254A"/>
    <w:rsid w:val="00DF5E6E"/>
    <w:rsid w:val="00DF6BB5"/>
    <w:rsid w:val="00E01B4E"/>
    <w:rsid w:val="00E03402"/>
    <w:rsid w:val="00E066E2"/>
    <w:rsid w:val="00E10CBF"/>
    <w:rsid w:val="00E11CD2"/>
    <w:rsid w:val="00E12B14"/>
    <w:rsid w:val="00E338B7"/>
    <w:rsid w:val="00E364A5"/>
    <w:rsid w:val="00E36927"/>
    <w:rsid w:val="00E44368"/>
    <w:rsid w:val="00E529F6"/>
    <w:rsid w:val="00E54E46"/>
    <w:rsid w:val="00E604AC"/>
    <w:rsid w:val="00E6161C"/>
    <w:rsid w:val="00E63783"/>
    <w:rsid w:val="00E64532"/>
    <w:rsid w:val="00E70B4F"/>
    <w:rsid w:val="00E71830"/>
    <w:rsid w:val="00E72A0F"/>
    <w:rsid w:val="00E74F2D"/>
    <w:rsid w:val="00E80BA9"/>
    <w:rsid w:val="00E816AC"/>
    <w:rsid w:val="00E827E9"/>
    <w:rsid w:val="00E83994"/>
    <w:rsid w:val="00E84B95"/>
    <w:rsid w:val="00E8666B"/>
    <w:rsid w:val="00E9065F"/>
    <w:rsid w:val="00E908CC"/>
    <w:rsid w:val="00E90BBC"/>
    <w:rsid w:val="00E931D2"/>
    <w:rsid w:val="00E93366"/>
    <w:rsid w:val="00EA0B2B"/>
    <w:rsid w:val="00EA25F4"/>
    <w:rsid w:val="00EA57C7"/>
    <w:rsid w:val="00EB05BD"/>
    <w:rsid w:val="00EB5FB2"/>
    <w:rsid w:val="00EB77C1"/>
    <w:rsid w:val="00EC0300"/>
    <w:rsid w:val="00EC41AA"/>
    <w:rsid w:val="00EC5DE2"/>
    <w:rsid w:val="00ED0627"/>
    <w:rsid w:val="00ED0E5B"/>
    <w:rsid w:val="00ED205E"/>
    <w:rsid w:val="00ED42E1"/>
    <w:rsid w:val="00ED6603"/>
    <w:rsid w:val="00EE4554"/>
    <w:rsid w:val="00EF2DA7"/>
    <w:rsid w:val="00EF55C8"/>
    <w:rsid w:val="00EF6E04"/>
    <w:rsid w:val="00EF7D12"/>
    <w:rsid w:val="00F01CF9"/>
    <w:rsid w:val="00F038C0"/>
    <w:rsid w:val="00F03A5A"/>
    <w:rsid w:val="00F03A83"/>
    <w:rsid w:val="00F056C7"/>
    <w:rsid w:val="00F06174"/>
    <w:rsid w:val="00F06642"/>
    <w:rsid w:val="00F11EBC"/>
    <w:rsid w:val="00F15824"/>
    <w:rsid w:val="00F22B10"/>
    <w:rsid w:val="00F264A2"/>
    <w:rsid w:val="00F30208"/>
    <w:rsid w:val="00F30F2E"/>
    <w:rsid w:val="00F330C9"/>
    <w:rsid w:val="00F37ED7"/>
    <w:rsid w:val="00F4040A"/>
    <w:rsid w:val="00F45ACB"/>
    <w:rsid w:val="00F51AE9"/>
    <w:rsid w:val="00F52349"/>
    <w:rsid w:val="00F52E6E"/>
    <w:rsid w:val="00F5371A"/>
    <w:rsid w:val="00F53848"/>
    <w:rsid w:val="00F551BE"/>
    <w:rsid w:val="00F5599A"/>
    <w:rsid w:val="00F570B2"/>
    <w:rsid w:val="00F5758A"/>
    <w:rsid w:val="00F615DB"/>
    <w:rsid w:val="00F620A5"/>
    <w:rsid w:val="00F64292"/>
    <w:rsid w:val="00F73353"/>
    <w:rsid w:val="00F85598"/>
    <w:rsid w:val="00F87F16"/>
    <w:rsid w:val="00F96E4B"/>
    <w:rsid w:val="00FA075C"/>
    <w:rsid w:val="00FA08E8"/>
    <w:rsid w:val="00FA4E81"/>
    <w:rsid w:val="00FA5EA8"/>
    <w:rsid w:val="00FA742B"/>
    <w:rsid w:val="00FB5048"/>
    <w:rsid w:val="00FD0E61"/>
    <w:rsid w:val="00FD1C79"/>
    <w:rsid w:val="00FD5A41"/>
    <w:rsid w:val="00FD6F9A"/>
    <w:rsid w:val="00FE0C82"/>
    <w:rsid w:val="00FE2740"/>
    <w:rsid w:val="00FE564D"/>
    <w:rsid w:val="00FE56B2"/>
    <w:rsid w:val="00FF37A3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49E78C0-25D7-405A-9BE0-8AB23B9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B9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D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DB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4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45ACB"/>
  </w:style>
  <w:style w:type="character" w:customStyle="1" w:styleId="PiedepginaCar">
    <w:name w:val="Pie de página Car"/>
    <w:link w:val="Piedepgina"/>
    <w:uiPriority w:val="99"/>
    <w:rsid w:val="00496B86"/>
    <w:rPr>
      <w:rFonts w:ascii="Arial" w:hAnsi="Arial"/>
      <w:lang w:val="es-ES" w:eastAsia="es-ES"/>
    </w:rPr>
  </w:style>
  <w:style w:type="numbering" w:styleId="111111">
    <w:name w:val="Outline List 2"/>
    <w:basedOn w:val="Sinlista"/>
    <w:rsid w:val="00AE263B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AB48D4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4F512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50031B"/>
  </w:style>
  <w:style w:type="character" w:customStyle="1" w:styleId="TextocomentarioCar">
    <w:name w:val="Texto comentario Car"/>
    <w:basedOn w:val="Fuentedeprrafopredeter"/>
    <w:link w:val="Textocomentario"/>
    <w:rsid w:val="0050031B"/>
    <w:rPr>
      <w:rFonts w:ascii="Arial" w:hAnsi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gestioncalidad.ramajudicial.gov.co/ModeloCSJ/index.php?sesion=&amp;op=4&amp;sop=4.2.2.1&amp;id_ejecucion=3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7B50-5261-4020-BB7F-A9C15124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7645</Words>
  <Characters>42053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ES-P-SG-02-F025 INFORME DE AUDITORIA DE ETAPA 2 DE SISTEMAS DE GESTIÓN.doc</vt:lpstr>
    </vt:vector>
  </TitlesOfParts>
  <Company>ICONTEC</Company>
  <LinksUpToDate>false</LinksUpToDate>
  <CharactersWithSpaces>49599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ES-P-SG-02-F025 INFORME DE AUDITORIA DE ETAPA 2 DE SISTEMAS DE GESTIÓN.doc</dc:title>
  <dc:subject/>
  <dc:creator>Jorge Andrés Arango Gallego - ICONTEC</dc:creator>
  <cp:keywords/>
  <cp:lastModifiedBy>Ofelia Betancourt</cp:lastModifiedBy>
  <cp:revision>2</cp:revision>
  <dcterms:created xsi:type="dcterms:W3CDTF">2018-04-03T16:42:00Z</dcterms:created>
  <dcterms:modified xsi:type="dcterms:W3CDTF">2018-04-03T16:42:00Z</dcterms:modified>
</cp:coreProperties>
</file>