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3D" w:rsidRPr="00472A16" w:rsidRDefault="00AC473D" w:rsidP="00AC473D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Style w:val="Ninguno"/>
          <w:rFonts w:ascii="Helvetica" w:eastAsia="Helvetica" w:hAnsi="Helvetica" w:cs="Helvetica"/>
          <w:bCs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27180">
        <w:rPr>
          <w:rStyle w:val="Ninguno"/>
          <w:rFonts w:ascii="Helvetica" w:hAnsi="Helvetica"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TALLER SOBRE RECURSOS EXTRAORDINARIOS DE LA MESA DE ESTUDIO No. 3. (Trabajo asincrónico)</w:t>
      </w:r>
      <w:r w:rsidRPr="00727180">
        <w:rPr>
          <w:rStyle w:val="Ninguno"/>
          <w:rFonts w:ascii="Helvetica" w:eastAsia="Helvetica" w:hAnsi="Helvetica" w:cs="Helvetica"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:rsidR="00AC473D" w:rsidRDefault="00AC473D" w:rsidP="00AC473D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b/>
          <w:bCs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EJERCICIO 1. RECURSO EXTRAORDINARIO DE REVISIÓN</w:t>
      </w:r>
      <w:r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AC473D" w:rsidRDefault="00AC473D" w:rsidP="00AC473D"/>
    <w:tbl>
      <w:tblPr>
        <w:tblStyle w:val="TableNormal"/>
        <w:tblW w:w="85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2648"/>
        <w:gridCol w:w="3085"/>
        <w:gridCol w:w="2779"/>
      </w:tblGrid>
      <w:tr w:rsidR="00AC473D" w:rsidRPr="00911A4D" w:rsidTr="00AF3036">
        <w:trPr>
          <w:trHeight w:val="324"/>
          <w:tblHeader/>
          <w:jc w:val="center"/>
        </w:trPr>
        <w:tc>
          <w:tcPr>
            <w:tcW w:w="2648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keepNext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color w:val="FFFFFF" w:themeColor="background1"/>
                <w:sz w:val="18"/>
                <w:szCs w:val="18"/>
              </w:rPr>
            </w:pPr>
            <w:r w:rsidRPr="00911A4D">
              <w:rPr>
                <w:rStyle w:val="Ninguno"/>
                <w:bCs/>
                <w:color w:val="FFFFFF" w:themeColor="background1"/>
                <w:sz w:val="18"/>
                <w:szCs w:val="18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ASPECTO PROCESAL</w:t>
            </w:r>
          </w:p>
        </w:tc>
        <w:tc>
          <w:tcPr>
            <w:tcW w:w="3085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color w:val="FFFFFF" w:themeColor="background1"/>
                <w:sz w:val="18"/>
                <w:szCs w:val="18"/>
              </w:rPr>
            </w:pPr>
            <w:r w:rsidRPr="00911A4D">
              <w:rPr>
                <w:rStyle w:val="Ninguno"/>
                <w:bCs/>
                <w:color w:val="FFFFFF" w:themeColor="background1"/>
                <w:sz w:val="18"/>
                <w:szCs w:val="18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LEY 1437 DE 2011</w:t>
            </w:r>
          </w:p>
        </w:tc>
        <w:tc>
          <w:tcPr>
            <w:tcW w:w="2779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color w:val="FFFFFF" w:themeColor="background1"/>
                <w:sz w:val="18"/>
                <w:szCs w:val="18"/>
              </w:rPr>
            </w:pPr>
            <w:r w:rsidRPr="00911A4D">
              <w:rPr>
                <w:rStyle w:val="Ninguno"/>
                <w:bCs/>
                <w:color w:val="FFFFFF" w:themeColor="background1"/>
                <w:sz w:val="18"/>
                <w:szCs w:val="18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LEY 2080 DE 2021</w:t>
            </w:r>
          </w:p>
        </w:tc>
      </w:tr>
      <w:tr w:rsidR="00AC473D" w:rsidRPr="00911A4D" w:rsidTr="00AF3036">
        <w:tblPrEx>
          <w:shd w:val="clear" w:color="auto" w:fill="CDD4E9"/>
        </w:tblPrEx>
        <w:trPr>
          <w:trHeight w:val="489"/>
          <w:jc w:val="center"/>
        </w:trPr>
        <w:tc>
          <w:tcPr>
            <w:tcW w:w="2648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  <w:r w:rsidRPr="00911A4D">
              <w:rPr>
                <w:rStyle w:val="Ninguno"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INADMISIÓN DEL RECURSO</w:t>
            </w:r>
          </w:p>
        </w:tc>
        <w:tc>
          <w:tcPr>
            <w:tcW w:w="3085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rPr>
                <w:sz w:val="18"/>
                <w:szCs w:val="18"/>
              </w:rPr>
            </w:pPr>
            <w:r w:rsidRPr="00911A4D">
              <w:rPr>
                <w:sz w:val="18"/>
                <w:szCs w:val="18"/>
              </w:rPr>
              <w:t>No lo contemplaba (x)</w:t>
            </w:r>
          </w:p>
        </w:tc>
        <w:tc>
          <w:tcPr>
            <w:tcW w:w="2779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jc w:val="both"/>
              <w:rPr>
                <w:sz w:val="18"/>
                <w:szCs w:val="18"/>
              </w:rPr>
            </w:pPr>
            <w:r w:rsidRPr="00911A4D">
              <w:rPr>
                <w:sz w:val="18"/>
                <w:szCs w:val="18"/>
              </w:rPr>
              <w:t>Recibido el expediente, el magistrado ponente resolverá sobre la admisión del recurso. Si este se inadmite por no reunir los requisitos formales exigidos en el artículo </w:t>
            </w:r>
            <w:hyperlink r:id="rId8" w:anchor="252" w:history="1">
              <w:r w:rsidRPr="00911A4D">
                <w:rPr>
                  <w:rStyle w:val="Hipervnculo"/>
                  <w:sz w:val="18"/>
                  <w:szCs w:val="18"/>
                </w:rPr>
                <w:t>252</w:t>
              </w:r>
            </w:hyperlink>
            <w:r w:rsidRPr="00911A4D">
              <w:rPr>
                <w:sz w:val="18"/>
                <w:szCs w:val="18"/>
              </w:rPr>
              <w:t>, se concederá al recurrente un plazo de cinco (5) días para subsanar los defectos advertidos.</w:t>
            </w:r>
          </w:p>
        </w:tc>
      </w:tr>
      <w:tr w:rsidR="00AC473D" w:rsidRPr="00911A4D" w:rsidTr="00AF3036">
        <w:tblPrEx>
          <w:shd w:val="clear" w:color="auto" w:fill="CDD4E9"/>
        </w:tblPrEx>
        <w:trPr>
          <w:trHeight w:val="484"/>
          <w:jc w:val="center"/>
        </w:trPr>
        <w:tc>
          <w:tcPr>
            <w:tcW w:w="264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  <w:r w:rsidRPr="00911A4D">
              <w:rPr>
                <w:rStyle w:val="Ninguno"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CAUSALES DE RECHAZO</w:t>
            </w:r>
          </w:p>
        </w:tc>
        <w:tc>
          <w:tcPr>
            <w:tcW w:w="308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rPr>
                <w:sz w:val="18"/>
                <w:szCs w:val="18"/>
              </w:rPr>
            </w:pPr>
            <w:r w:rsidRPr="00911A4D">
              <w:rPr>
                <w:sz w:val="18"/>
                <w:szCs w:val="18"/>
              </w:rPr>
              <w:t>No lo contemplaba (x)</w:t>
            </w:r>
          </w:p>
        </w:tc>
        <w:tc>
          <w:tcPr>
            <w:tcW w:w="277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70" w:lineRule="atLeast"/>
              <w:jc w:val="both"/>
              <w:rPr>
                <w:rFonts w:eastAsia="Times New Roman"/>
                <w:sz w:val="18"/>
                <w:szCs w:val="18"/>
                <w:bdr w:val="none" w:sz="0" w:space="0" w:color="auto"/>
                <w:lang w:val="es-MX" w:eastAsia="es-MX"/>
              </w:rPr>
            </w:pPr>
            <w:r w:rsidRPr="00911A4D">
              <w:rPr>
                <w:rFonts w:eastAsia="Times New Roman"/>
                <w:sz w:val="18"/>
                <w:szCs w:val="18"/>
                <w:bdr w:val="none" w:sz="0" w:space="0" w:color="auto"/>
                <w:lang w:val="es-MX" w:eastAsia="es-MX"/>
              </w:rPr>
              <w:t>El recurso se rechazará cuando:</w:t>
            </w:r>
          </w:p>
          <w:p w:rsidR="00AC473D" w:rsidRPr="00911A4D" w:rsidRDefault="00AC473D" w:rsidP="00AF30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70" w:lineRule="atLeast"/>
              <w:jc w:val="both"/>
              <w:rPr>
                <w:rFonts w:eastAsia="Times New Roman"/>
                <w:sz w:val="18"/>
                <w:szCs w:val="18"/>
                <w:bdr w:val="none" w:sz="0" w:space="0" w:color="auto"/>
                <w:lang w:val="es-MX" w:eastAsia="es-MX"/>
              </w:rPr>
            </w:pPr>
            <w:r w:rsidRPr="00911A4D">
              <w:rPr>
                <w:rFonts w:eastAsia="Times New Roman"/>
                <w:sz w:val="18"/>
                <w:szCs w:val="18"/>
                <w:bdr w:val="none" w:sz="0" w:space="0" w:color="auto"/>
                <w:lang w:val="es-MX" w:eastAsia="es-MX"/>
              </w:rPr>
              <w:t>1. No se presente en el término legal.</w:t>
            </w:r>
          </w:p>
          <w:p w:rsidR="00AC473D" w:rsidRPr="00911A4D" w:rsidRDefault="00AC473D" w:rsidP="00AF30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70" w:lineRule="atLeast"/>
              <w:jc w:val="both"/>
              <w:rPr>
                <w:rFonts w:eastAsia="Times New Roman"/>
                <w:sz w:val="18"/>
                <w:szCs w:val="18"/>
                <w:bdr w:val="none" w:sz="0" w:space="0" w:color="auto"/>
                <w:lang w:val="es-MX" w:eastAsia="es-MX"/>
              </w:rPr>
            </w:pPr>
            <w:r w:rsidRPr="00911A4D">
              <w:rPr>
                <w:rFonts w:eastAsia="Times New Roman"/>
                <w:sz w:val="18"/>
                <w:szCs w:val="18"/>
                <w:bdr w:val="none" w:sz="0" w:space="0" w:color="auto"/>
                <w:lang w:val="es-MX" w:eastAsia="es-MX"/>
              </w:rPr>
              <w:t>2. Haya sido formulado por quien carece de legitimación para hacerlo.</w:t>
            </w:r>
          </w:p>
          <w:p w:rsidR="00AC473D" w:rsidRPr="00911A4D" w:rsidRDefault="00AC473D" w:rsidP="00AF30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70" w:lineRule="atLeast"/>
              <w:jc w:val="both"/>
              <w:rPr>
                <w:rFonts w:eastAsia="Times New Roman"/>
                <w:sz w:val="18"/>
                <w:szCs w:val="18"/>
                <w:bdr w:val="none" w:sz="0" w:space="0" w:color="auto"/>
                <w:lang w:val="es-MX" w:eastAsia="es-MX"/>
              </w:rPr>
            </w:pPr>
            <w:r w:rsidRPr="00911A4D">
              <w:rPr>
                <w:rFonts w:eastAsia="Times New Roman"/>
                <w:sz w:val="18"/>
                <w:szCs w:val="18"/>
                <w:bdr w:val="none" w:sz="0" w:space="0" w:color="auto"/>
                <w:lang w:val="es-MX" w:eastAsia="es-MX"/>
              </w:rPr>
              <w:t>3. No se subsanen en término las falencias advertidas en la inadmisión.</w:t>
            </w:r>
          </w:p>
        </w:tc>
      </w:tr>
      <w:tr w:rsidR="00AC473D" w:rsidRPr="00911A4D" w:rsidTr="00AF3036">
        <w:tblPrEx>
          <w:shd w:val="clear" w:color="auto" w:fill="CDD4E9"/>
        </w:tblPrEx>
        <w:trPr>
          <w:trHeight w:val="2203"/>
          <w:jc w:val="center"/>
        </w:trPr>
        <w:tc>
          <w:tcPr>
            <w:tcW w:w="264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  <w:r w:rsidRPr="00911A4D">
              <w:rPr>
                <w:rStyle w:val="Ninguno"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NOTIFICACIÓN AUTO ADMISORIO</w:t>
            </w:r>
          </w:p>
        </w:tc>
        <w:tc>
          <w:tcPr>
            <w:tcW w:w="308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1A4D">
              <w:rPr>
                <w:rStyle w:val="Ninguno"/>
                <w:rFonts w:ascii="Times New Roman" w:hAnsi="Times New Roman" w:cs="Times New Roman"/>
                <w:sz w:val="18"/>
                <w:szCs w:val="18"/>
                <w:u w:color="000000"/>
              </w:rPr>
              <w:t>Se notificará personalmente a la contraparte y al Ministerio Público para que lo contesten, si a bien tienen, y pidan pruebas, dentro del término de diez (10) días. </w:t>
            </w:r>
          </w:p>
        </w:tc>
        <w:tc>
          <w:tcPr>
            <w:tcW w:w="277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Style w:val="Ninguno"/>
                <w:rFonts w:ascii="Times New Roman" w:hAnsi="Times New Roman" w:cs="Times New Roman"/>
                <w:sz w:val="18"/>
                <w:szCs w:val="18"/>
                <w:u w:color="000000"/>
              </w:rPr>
            </w:pPr>
            <w:r w:rsidRPr="00911A4D">
              <w:rPr>
                <w:rStyle w:val="Ninguno"/>
                <w:rFonts w:ascii="Times New Roman" w:hAnsi="Times New Roman" w:cs="Times New Roman"/>
                <w:sz w:val="18"/>
                <w:szCs w:val="18"/>
                <w:u w:color="000000"/>
              </w:rPr>
              <w:t>Se notificará personalmente a la contraparte y al Ministerio Público para que lo contesten dentro de los diez (10) días siguientes, si a bien lo tienen, y pidan pruebas.  </w:t>
            </w:r>
          </w:p>
          <w:p w:rsidR="00AC473D" w:rsidRPr="00911A4D" w:rsidRDefault="00AC473D" w:rsidP="00AF3036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73D" w:rsidRPr="00911A4D" w:rsidTr="00AF3036">
        <w:tblPrEx>
          <w:shd w:val="clear" w:color="auto" w:fill="CDD4E9"/>
        </w:tblPrEx>
        <w:trPr>
          <w:trHeight w:val="724"/>
          <w:jc w:val="center"/>
        </w:trPr>
        <w:tc>
          <w:tcPr>
            <w:tcW w:w="264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  <w:r w:rsidRPr="00911A4D">
              <w:rPr>
                <w:rStyle w:val="Ninguno"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EXCEPCIONES PREVIAS Y REFORMA DEL RECURSO</w:t>
            </w:r>
          </w:p>
        </w:tc>
        <w:tc>
          <w:tcPr>
            <w:tcW w:w="308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rPr>
                <w:sz w:val="18"/>
                <w:szCs w:val="18"/>
              </w:rPr>
            </w:pPr>
            <w:r w:rsidRPr="00911A4D">
              <w:rPr>
                <w:sz w:val="18"/>
                <w:szCs w:val="18"/>
              </w:rPr>
              <w:t>No lo contemplaba (x)</w:t>
            </w:r>
          </w:p>
        </w:tc>
        <w:tc>
          <w:tcPr>
            <w:tcW w:w="277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70" w:lineRule="atLeast"/>
              <w:jc w:val="both"/>
              <w:rPr>
                <w:rFonts w:eastAsia="Times New Roman"/>
                <w:sz w:val="18"/>
                <w:szCs w:val="18"/>
                <w:bdr w:val="none" w:sz="0" w:space="0" w:color="auto"/>
                <w:lang w:val="es-MX" w:eastAsia="es-MX"/>
              </w:rPr>
            </w:pPr>
            <w:r w:rsidRPr="00911A4D">
              <w:rPr>
                <w:rFonts w:eastAsia="Times New Roman"/>
                <w:sz w:val="18"/>
                <w:szCs w:val="18"/>
                <w:bdr w:val="none" w:sz="0" w:space="0" w:color="auto"/>
                <w:lang w:val="es-MX" w:eastAsia="es-MX"/>
              </w:rPr>
              <w:t>Dentro de este trámite no se podrán proponer excepciones previas y tampoco procederá la reforma del recurso de revisión.</w:t>
            </w:r>
          </w:p>
          <w:p w:rsidR="00AC473D" w:rsidRPr="00911A4D" w:rsidRDefault="00AC473D" w:rsidP="00AF3036">
            <w:pPr>
              <w:rPr>
                <w:sz w:val="18"/>
                <w:szCs w:val="18"/>
              </w:rPr>
            </w:pPr>
          </w:p>
        </w:tc>
      </w:tr>
      <w:tr w:rsidR="00AC473D" w:rsidRPr="00911A4D" w:rsidTr="00AF3036">
        <w:tblPrEx>
          <w:shd w:val="clear" w:color="auto" w:fill="CDD4E9"/>
        </w:tblPrEx>
        <w:trPr>
          <w:trHeight w:val="724"/>
          <w:jc w:val="center"/>
        </w:trPr>
        <w:tc>
          <w:tcPr>
            <w:tcW w:w="264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  <w:r w:rsidRPr="00911A4D">
              <w:rPr>
                <w:rStyle w:val="Ninguno"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SUSPENSIÓN CUMPLIMIENTO DE LA SENTENCIA </w:t>
            </w:r>
          </w:p>
        </w:tc>
        <w:tc>
          <w:tcPr>
            <w:tcW w:w="308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rPr>
                <w:sz w:val="18"/>
                <w:szCs w:val="18"/>
              </w:rPr>
            </w:pPr>
            <w:r w:rsidRPr="00911A4D">
              <w:rPr>
                <w:sz w:val="18"/>
                <w:szCs w:val="18"/>
              </w:rPr>
              <w:t>No lo contemplaba (x)</w:t>
            </w:r>
          </w:p>
        </w:tc>
        <w:tc>
          <w:tcPr>
            <w:tcW w:w="277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rPr>
                <w:sz w:val="18"/>
                <w:szCs w:val="18"/>
              </w:rPr>
            </w:pPr>
            <w:r w:rsidRPr="00911A4D">
              <w:rPr>
                <w:sz w:val="18"/>
                <w:szCs w:val="18"/>
              </w:rPr>
              <w:t>En ningún caso, el trámite del recurso de revisión suspende el cumplimiento de la sentencia.</w:t>
            </w:r>
          </w:p>
        </w:tc>
      </w:tr>
    </w:tbl>
    <w:p w:rsidR="00AC473D" w:rsidRDefault="00AC473D" w:rsidP="00AC473D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AC473D" w:rsidRDefault="00AC473D" w:rsidP="00AC473D"/>
    <w:p w:rsidR="00AC473D" w:rsidRDefault="00AC473D" w:rsidP="00AC473D"/>
    <w:tbl>
      <w:tblPr>
        <w:tblStyle w:val="TableNormal"/>
        <w:tblW w:w="856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3120"/>
        <w:gridCol w:w="2755"/>
        <w:gridCol w:w="2693"/>
      </w:tblGrid>
      <w:tr w:rsidR="00AC473D" w:rsidRPr="00911A4D" w:rsidTr="00AF3036">
        <w:trPr>
          <w:trHeight w:val="314"/>
          <w:tblHeader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pStyle w:val="Estilodetabla3A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11A4D">
              <w:rPr>
                <w:rStyle w:val="Ninguno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ASPECTOS PROCESALES</w:t>
            </w:r>
          </w:p>
        </w:tc>
        <w:tc>
          <w:tcPr>
            <w:tcW w:w="2755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pStyle w:val="Estilodetabla3A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11A4D">
              <w:rPr>
                <w:rStyle w:val="Ninguno"/>
                <w:rFonts w:ascii="Times New Roman" w:hAnsi="Times New Roman" w:cs="Times New Roman"/>
                <w:b w:val="0"/>
                <w:sz w:val="18"/>
                <w:szCs w:val="18"/>
              </w:rPr>
              <w:t>LEY 1437 DE 2011 (texto original)</w:t>
            </w:r>
          </w:p>
        </w:tc>
        <w:tc>
          <w:tcPr>
            <w:tcW w:w="2693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pStyle w:val="Estilodetabla3A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11A4D">
              <w:rPr>
                <w:rStyle w:val="Ninguno"/>
                <w:rFonts w:ascii="Times New Roman" w:hAnsi="Times New Roman" w:cs="Times New Roman"/>
                <w:b w:val="0"/>
                <w:sz w:val="18"/>
                <w:szCs w:val="18"/>
              </w:rPr>
              <w:t xml:space="preserve"> LEY 2080 DE 2021</w:t>
            </w:r>
          </w:p>
        </w:tc>
      </w:tr>
      <w:tr w:rsidR="00AC473D" w:rsidRPr="00911A4D" w:rsidTr="00AF3036">
        <w:tblPrEx>
          <w:shd w:val="clear" w:color="auto" w:fill="CDD4E9"/>
        </w:tblPrEx>
        <w:trPr>
          <w:trHeight w:val="1489"/>
        </w:trPr>
        <w:tc>
          <w:tcPr>
            <w:tcW w:w="3120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pStyle w:val="Estilodetabla2A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1A4D">
              <w:rPr>
                <w:rStyle w:val="Ninguno"/>
                <w:rFonts w:ascii="Times New Roman" w:hAnsi="Times New Roman" w:cs="Times New Roman"/>
                <w:bCs/>
                <w:sz w:val="18"/>
                <w:szCs w:val="18"/>
              </w:rPr>
              <w:t xml:space="preserve">SENTENCIA POR LAS CAUSALES: de los numerales 1 a 4 y 6 a 8 del artículo 250 del CPACA o del literal b) del artículo 20 de la Ley 797 de 2003. </w:t>
            </w:r>
          </w:p>
        </w:tc>
        <w:tc>
          <w:tcPr>
            <w:tcW w:w="2755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pStyle w:val="NormalWeb"/>
              <w:spacing w:before="0" w:beforeAutospacing="0" w:after="144" w:afterAutospacing="0" w:line="254" w:lineRule="atLeast"/>
              <w:jc w:val="both"/>
              <w:rPr>
                <w:color w:val="000000"/>
                <w:sz w:val="18"/>
                <w:szCs w:val="18"/>
                <w:u w:val="single"/>
              </w:rPr>
            </w:pPr>
            <w:r w:rsidRPr="00911A4D">
              <w:rPr>
                <w:bCs/>
                <w:color w:val="000000"/>
                <w:sz w:val="18"/>
                <w:szCs w:val="18"/>
                <w:u w:val="single"/>
              </w:rPr>
              <w:t>Artículo 250 del CPACA</w:t>
            </w:r>
            <w:r w:rsidRPr="00911A4D">
              <w:rPr>
                <w:color w:val="000000"/>
                <w:sz w:val="18"/>
                <w:szCs w:val="18"/>
                <w:u w:val="single"/>
              </w:rPr>
              <w:t>:</w:t>
            </w:r>
          </w:p>
          <w:p w:rsidR="00AC473D" w:rsidRPr="00911A4D" w:rsidRDefault="00AC473D" w:rsidP="00AF3036">
            <w:pPr>
              <w:pStyle w:val="NormalWeb"/>
              <w:spacing w:before="0" w:beforeAutospacing="0" w:after="144" w:afterAutospacing="0" w:line="254" w:lineRule="atLeast"/>
              <w:jc w:val="both"/>
              <w:rPr>
                <w:color w:val="000000"/>
                <w:sz w:val="18"/>
                <w:szCs w:val="18"/>
              </w:rPr>
            </w:pPr>
            <w:r w:rsidRPr="00911A4D">
              <w:rPr>
                <w:color w:val="000000"/>
                <w:sz w:val="18"/>
                <w:szCs w:val="18"/>
              </w:rPr>
              <w:t>1. Haberse encontrado o recobrado después de dictada la sentencia documentos decisivos, con los cuales se hubiera podido proferir una decisión diferente y que el recurrente no pudo aportarlos al proceso por fuerza mayor o caso fortuito o por obra de la parte contraria. </w:t>
            </w:r>
          </w:p>
          <w:p w:rsidR="00AC473D" w:rsidRPr="00911A4D" w:rsidRDefault="00AC473D" w:rsidP="00AF3036">
            <w:pPr>
              <w:pStyle w:val="NormalWeb"/>
              <w:spacing w:before="0" w:beforeAutospacing="0" w:after="144" w:afterAutospacing="0" w:line="254" w:lineRule="atLeast"/>
              <w:jc w:val="both"/>
              <w:rPr>
                <w:color w:val="000000"/>
                <w:sz w:val="18"/>
                <w:szCs w:val="18"/>
              </w:rPr>
            </w:pPr>
            <w:r w:rsidRPr="00911A4D">
              <w:rPr>
                <w:color w:val="000000"/>
                <w:sz w:val="18"/>
                <w:szCs w:val="18"/>
              </w:rPr>
              <w:t>2. Haberse dictado la sentencia con fundamento en documentos falsos o adulterados. </w:t>
            </w:r>
          </w:p>
          <w:p w:rsidR="00AC473D" w:rsidRPr="00911A4D" w:rsidRDefault="00AC473D" w:rsidP="00AF3036">
            <w:pPr>
              <w:pStyle w:val="NormalWeb"/>
              <w:spacing w:before="0" w:beforeAutospacing="0" w:after="144" w:afterAutospacing="0" w:line="254" w:lineRule="atLeast"/>
              <w:jc w:val="both"/>
              <w:rPr>
                <w:color w:val="000000"/>
                <w:sz w:val="18"/>
                <w:szCs w:val="18"/>
              </w:rPr>
            </w:pPr>
            <w:r w:rsidRPr="00911A4D">
              <w:rPr>
                <w:color w:val="000000"/>
                <w:sz w:val="18"/>
                <w:szCs w:val="18"/>
              </w:rPr>
              <w:t>3. Haberse dictado la sentencia con base en dictamen de peritos condenados penalmente por ilícitos cometidos en su expedición. </w:t>
            </w:r>
          </w:p>
          <w:p w:rsidR="00AC473D" w:rsidRPr="00911A4D" w:rsidRDefault="00AC473D" w:rsidP="00AF3036">
            <w:pPr>
              <w:pStyle w:val="NormalWeb"/>
              <w:spacing w:before="0" w:beforeAutospacing="0" w:after="144" w:afterAutospacing="0" w:line="254" w:lineRule="atLeast"/>
              <w:jc w:val="both"/>
              <w:rPr>
                <w:color w:val="000000"/>
                <w:sz w:val="18"/>
                <w:szCs w:val="18"/>
              </w:rPr>
            </w:pPr>
            <w:r w:rsidRPr="00911A4D">
              <w:rPr>
                <w:color w:val="000000"/>
                <w:sz w:val="18"/>
                <w:szCs w:val="18"/>
              </w:rPr>
              <w:t>4. Haberse dictado sentencia penal que declare que hubo violencia o cohecho en el pronunciamiento de la sentencia. </w:t>
            </w:r>
          </w:p>
          <w:p w:rsidR="00AC473D" w:rsidRPr="00911A4D" w:rsidRDefault="00AC473D" w:rsidP="00AF3036">
            <w:pPr>
              <w:pStyle w:val="NormalWeb"/>
              <w:spacing w:before="0" w:beforeAutospacing="0" w:after="144" w:afterAutospacing="0" w:line="254" w:lineRule="atLeast"/>
              <w:jc w:val="both"/>
              <w:rPr>
                <w:color w:val="000000"/>
                <w:sz w:val="18"/>
                <w:szCs w:val="18"/>
              </w:rPr>
            </w:pPr>
            <w:r w:rsidRPr="00911A4D">
              <w:rPr>
                <w:color w:val="000000"/>
                <w:sz w:val="18"/>
                <w:szCs w:val="18"/>
              </w:rPr>
              <w:t>6. Aparecer, después de dictada la sentencia a favor de una persona, otra con mejor derecho para reclamar. </w:t>
            </w:r>
          </w:p>
          <w:p w:rsidR="00AC473D" w:rsidRPr="00911A4D" w:rsidRDefault="00AC473D" w:rsidP="00AF3036">
            <w:pPr>
              <w:pStyle w:val="NormalWeb"/>
              <w:spacing w:before="0" w:beforeAutospacing="0" w:after="144" w:afterAutospacing="0" w:line="254" w:lineRule="atLeast"/>
              <w:jc w:val="both"/>
              <w:rPr>
                <w:color w:val="000000"/>
                <w:sz w:val="18"/>
                <w:szCs w:val="18"/>
              </w:rPr>
            </w:pPr>
            <w:r w:rsidRPr="00911A4D">
              <w:rPr>
                <w:color w:val="000000"/>
                <w:sz w:val="18"/>
                <w:szCs w:val="18"/>
              </w:rPr>
              <w:t>7. No tener la persona en cuyo favor se decretó una prestación periódica, al tiempo del reconocimiento, la aptitud legal necesaria o perder esa aptitud con posterioridad a la sentencia o sobrevenir alguna de las causales legales para su pérdida.</w:t>
            </w:r>
          </w:p>
          <w:p w:rsidR="00AC473D" w:rsidRPr="00911A4D" w:rsidRDefault="00AC473D" w:rsidP="00AF3036">
            <w:pPr>
              <w:pStyle w:val="NormalWeb"/>
              <w:spacing w:before="0" w:beforeAutospacing="0" w:after="144" w:afterAutospacing="0" w:line="254" w:lineRule="atLeast"/>
              <w:jc w:val="both"/>
              <w:rPr>
                <w:color w:val="000000"/>
                <w:sz w:val="18"/>
                <w:szCs w:val="18"/>
              </w:rPr>
            </w:pPr>
            <w:r w:rsidRPr="00911A4D">
              <w:rPr>
                <w:color w:val="000000"/>
                <w:sz w:val="18"/>
                <w:szCs w:val="18"/>
              </w:rPr>
              <w:t>8. Ser la sentencia contraria a otra anterior que constituya cosa juzgada entre las partes del proceso en que aquella fue dictada. Sin embargo, no habrá lugar a revisión si en el segundo proceso se propuso la excepción de cosa juzgada y fue rechazada. </w:t>
            </w:r>
          </w:p>
          <w:p w:rsidR="00AC473D" w:rsidRPr="00911A4D" w:rsidRDefault="00AC473D" w:rsidP="00AF3036">
            <w:pPr>
              <w:pStyle w:val="NormalWeb"/>
              <w:spacing w:before="0" w:beforeAutospacing="0" w:after="144" w:afterAutospacing="0" w:line="254" w:lineRule="atLeast"/>
              <w:jc w:val="both"/>
              <w:rPr>
                <w:color w:val="000000"/>
                <w:sz w:val="18"/>
                <w:szCs w:val="18"/>
              </w:rPr>
            </w:pPr>
          </w:p>
          <w:p w:rsidR="00AC473D" w:rsidRPr="00911A4D" w:rsidRDefault="00AC473D" w:rsidP="00AF3036">
            <w:pPr>
              <w:pStyle w:val="NormalWeb"/>
              <w:spacing w:before="0" w:beforeAutospacing="0" w:after="144" w:afterAutospacing="0" w:line="254" w:lineRule="atLeast"/>
              <w:jc w:val="both"/>
              <w:rPr>
                <w:bCs/>
                <w:color w:val="000000" w:themeColor="text1"/>
                <w:sz w:val="18"/>
                <w:szCs w:val="18"/>
                <w:u w:val="single"/>
              </w:rPr>
            </w:pPr>
            <w:r w:rsidRPr="00911A4D">
              <w:rPr>
                <w:bCs/>
                <w:color w:val="000000" w:themeColor="text1"/>
                <w:sz w:val="18"/>
                <w:szCs w:val="18"/>
                <w:u w:val="single"/>
              </w:rPr>
              <w:lastRenderedPageBreak/>
              <w:t>Artículo 20 de la Ley 797 de 2003:</w:t>
            </w:r>
          </w:p>
          <w:p w:rsidR="00AC473D" w:rsidRPr="00911A4D" w:rsidRDefault="00AC473D" w:rsidP="00AF3036">
            <w:pPr>
              <w:pStyle w:val="NormalWeb"/>
              <w:spacing w:line="270" w:lineRule="atLeast"/>
              <w:jc w:val="both"/>
              <w:rPr>
                <w:color w:val="000000" w:themeColor="text1"/>
                <w:sz w:val="18"/>
                <w:szCs w:val="18"/>
              </w:rPr>
            </w:pPr>
            <w:r w:rsidRPr="00911A4D">
              <w:rPr>
                <w:color w:val="000000" w:themeColor="text1"/>
                <w:sz w:val="18"/>
                <w:szCs w:val="18"/>
              </w:rPr>
              <w:t>a) Cuando el reconocimiento se haya obtenido con violación al debido proceso, y</w:t>
            </w:r>
          </w:p>
          <w:p w:rsidR="00AC473D" w:rsidRPr="00911A4D" w:rsidRDefault="00AC473D" w:rsidP="00AF3036">
            <w:pPr>
              <w:pStyle w:val="NormalWeb"/>
              <w:spacing w:line="270" w:lineRule="atLeast"/>
              <w:jc w:val="both"/>
              <w:rPr>
                <w:color w:val="000000" w:themeColor="text1"/>
                <w:sz w:val="18"/>
                <w:szCs w:val="18"/>
              </w:rPr>
            </w:pPr>
            <w:r w:rsidRPr="00911A4D">
              <w:rPr>
                <w:color w:val="000000" w:themeColor="text1"/>
                <w:sz w:val="18"/>
                <w:szCs w:val="18"/>
              </w:rPr>
              <w:t>b) Cuando la cuantía del derecho reconocido excediere lo debido de acuerdo con la ley, pacto o convención colectiva que le eran legalmente aplicables.</w:t>
            </w:r>
          </w:p>
        </w:tc>
        <w:tc>
          <w:tcPr>
            <w:tcW w:w="2693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jc w:val="both"/>
              <w:rPr>
                <w:sz w:val="18"/>
                <w:szCs w:val="18"/>
              </w:rPr>
            </w:pPr>
            <w:r w:rsidRPr="00911A4D">
              <w:rPr>
                <w:sz w:val="18"/>
                <w:szCs w:val="18"/>
              </w:rPr>
              <w:lastRenderedPageBreak/>
              <w:t>Si el competente encuentra fundada alguna de las causales de los numerales 1 a 4 y 6 a 8 del artículo </w:t>
            </w:r>
            <w:hyperlink r:id="rId9" w:anchor="250" w:history="1">
              <w:r w:rsidRPr="00911A4D">
                <w:rPr>
                  <w:rStyle w:val="Hipervnculo"/>
                  <w:sz w:val="18"/>
                  <w:szCs w:val="18"/>
                </w:rPr>
                <w:t>250</w:t>
              </w:r>
            </w:hyperlink>
            <w:r w:rsidRPr="00911A4D">
              <w:rPr>
                <w:sz w:val="18"/>
                <w:szCs w:val="18"/>
              </w:rPr>
              <w:t> de este código, o la del literal b) del artículo </w:t>
            </w:r>
            <w:hyperlink r:id="rId10" w:anchor="20" w:history="1">
              <w:r w:rsidRPr="00911A4D">
                <w:rPr>
                  <w:rStyle w:val="Hipervnculo"/>
                  <w:sz w:val="18"/>
                  <w:szCs w:val="18"/>
                </w:rPr>
                <w:t>20</w:t>
              </w:r>
            </w:hyperlink>
            <w:r w:rsidRPr="00911A4D">
              <w:rPr>
                <w:sz w:val="18"/>
                <w:szCs w:val="18"/>
              </w:rPr>
              <w:t> de la Ley 797 de 2003, invalidará la sentencia revisada y dictará la que en derecho corresponde.</w:t>
            </w:r>
          </w:p>
          <w:p w:rsidR="00AC473D" w:rsidRPr="00911A4D" w:rsidRDefault="00AC473D" w:rsidP="00AF3036">
            <w:pPr>
              <w:jc w:val="both"/>
              <w:rPr>
                <w:sz w:val="18"/>
                <w:szCs w:val="18"/>
              </w:rPr>
            </w:pPr>
          </w:p>
          <w:p w:rsidR="00AC473D" w:rsidRPr="00911A4D" w:rsidRDefault="00AC473D" w:rsidP="00AF3036">
            <w:pPr>
              <w:jc w:val="both"/>
              <w:rPr>
                <w:sz w:val="18"/>
                <w:szCs w:val="18"/>
              </w:rPr>
            </w:pPr>
            <w:r w:rsidRPr="00911A4D">
              <w:rPr>
                <w:sz w:val="18"/>
                <w:szCs w:val="18"/>
              </w:rPr>
              <w:t>En la sentencia que invalide la decisión revisada se resolverá sobre las restituciones, cancelaciones, perjuicios, frutos, mejoras, deterioros y demás consecuencias de dicha invalidación. Si en el expediente no existiere prueba para imponer la condena en concreto, esta se hará en abstracto y se dará cumplimiento a lo dispuesto en el artículo </w:t>
            </w:r>
            <w:hyperlink r:id="rId11" w:anchor="193" w:history="1">
              <w:r w:rsidRPr="00911A4D">
                <w:rPr>
                  <w:rStyle w:val="Hipervnculo"/>
                  <w:sz w:val="18"/>
                  <w:szCs w:val="18"/>
                </w:rPr>
                <w:t>193</w:t>
              </w:r>
            </w:hyperlink>
            <w:r w:rsidRPr="00911A4D">
              <w:rPr>
                <w:sz w:val="18"/>
                <w:szCs w:val="18"/>
              </w:rPr>
              <w:t> de este código.</w:t>
            </w:r>
          </w:p>
        </w:tc>
      </w:tr>
      <w:tr w:rsidR="00AC473D" w:rsidRPr="00911A4D" w:rsidTr="00AF3036">
        <w:tblPrEx>
          <w:shd w:val="clear" w:color="auto" w:fill="CDD4E9"/>
        </w:tblPrEx>
        <w:trPr>
          <w:trHeight w:val="122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pStyle w:val="Estilodetabla2A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1A4D">
              <w:rPr>
                <w:rStyle w:val="Ninguno"/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SENTENCIA POR LAS CAUSALES: del numeral 5 del artículo 250 del CPACA o del literal a) del artículo 20 de la Ley 797 de 2003. </w:t>
            </w:r>
          </w:p>
        </w:tc>
        <w:tc>
          <w:tcPr>
            <w:tcW w:w="275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pStyle w:val="NormalWeb"/>
              <w:spacing w:before="0" w:beforeAutospacing="0" w:after="144" w:afterAutospacing="0" w:line="254" w:lineRule="atLeast"/>
              <w:jc w:val="both"/>
              <w:rPr>
                <w:color w:val="000000"/>
                <w:sz w:val="18"/>
                <w:szCs w:val="18"/>
                <w:u w:val="single"/>
              </w:rPr>
            </w:pPr>
            <w:r w:rsidRPr="00911A4D">
              <w:rPr>
                <w:bCs/>
                <w:color w:val="000000"/>
                <w:sz w:val="18"/>
                <w:szCs w:val="18"/>
                <w:u w:val="single"/>
              </w:rPr>
              <w:t>Artículo 250 del CPACA:</w:t>
            </w:r>
          </w:p>
          <w:p w:rsidR="00AC473D" w:rsidRPr="00911A4D" w:rsidRDefault="00AC473D" w:rsidP="00AF3036">
            <w:pPr>
              <w:pStyle w:val="NormalWeb"/>
              <w:spacing w:before="0" w:beforeAutospacing="0" w:after="144" w:afterAutospacing="0" w:line="254" w:lineRule="atLeast"/>
              <w:jc w:val="both"/>
              <w:rPr>
                <w:color w:val="000000"/>
                <w:sz w:val="18"/>
                <w:szCs w:val="18"/>
              </w:rPr>
            </w:pPr>
            <w:r w:rsidRPr="00911A4D">
              <w:rPr>
                <w:color w:val="000000"/>
                <w:sz w:val="18"/>
                <w:szCs w:val="18"/>
              </w:rPr>
              <w:t>5. Existir nulidad originada en la sentencia que puso fin al proceso y contra la que no procede recurso de apelación. </w:t>
            </w:r>
          </w:p>
          <w:p w:rsidR="00AC473D" w:rsidRPr="00911A4D" w:rsidRDefault="00AC473D" w:rsidP="00AF3036">
            <w:pPr>
              <w:rPr>
                <w:sz w:val="18"/>
                <w:szCs w:val="18"/>
              </w:rPr>
            </w:pPr>
          </w:p>
          <w:p w:rsidR="00AC473D" w:rsidRPr="00911A4D" w:rsidRDefault="00AC473D" w:rsidP="00AF303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jc w:val="both"/>
              <w:rPr>
                <w:sz w:val="18"/>
                <w:szCs w:val="18"/>
              </w:rPr>
            </w:pPr>
            <w:r w:rsidRPr="00911A4D">
              <w:rPr>
                <w:sz w:val="18"/>
                <w:szCs w:val="18"/>
              </w:rPr>
              <w:t>Si halla fundada la causal del numeral 5 del señalado artículo </w:t>
            </w:r>
            <w:hyperlink r:id="rId12" w:anchor="250" w:history="1">
              <w:r w:rsidRPr="00911A4D">
                <w:rPr>
                  <w:rStyle w:val="Hipervnculo"/>
                  <w:sz w:val="18"/>
                  <w:szCs w:val="18"/>
                </w:rPr>
                <w:t>250</w:t>
              </w:r>
            </w:hyperlink>
            <w:r w:rsidRPr="00911A4D">
              <w:rPr>
                <w:sz w:val="18"/>
                <w:szCs w:val="18"/>
              </w:rPr>
              <w:t>, o la del literal a) del artículo </w:t>
            </w:r>
            <w:hyperlink r:id="rId13" w:anchor="20" w:history="1">
              <w:r w:rsidRPr="00911A4D">
                <w:rPr>
                  <w:rStyle w:val="Hipervnculo"/>
                  <w:sz w:val="18"/>
                  <w:szCs w:val="18"/>
                </w:rPr>
                <w:t>20</w:t>
              </w:r>
            </w:hyperlink>
            <w:r w:rsidRPr="00911A4D">
              <w:rPr>
                <w:sz w:val="18"/>
                <w:szCs w:val="18"/>
              </w:rPr>
              <w:t> de la Ley 797 de 2003, declarará la nulidad de la sentencia o de la actuación afectada con la causal que dio lugar a la revisión, y devolverá el proceso a la autoridad judicial de origen para que rehaga lo actuado o dicte sentencia de nuevo, según corresponda.</w:t>
            </w:r>
          </w:p>
        </w:tc>
      </w:tr>
      <w:tr w:rsidR="00AC473D" w:rsidRPr="00911A4D" w:rsidTr="00AF3036">
        <w:tblPrEx>
          <w:shd w:val="clear" w:color="auto" w:fill="CDD4E9"/>
        </w:tblPrEx>
        <w:trPr>
          <w:trHeight w:val="50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pStyle w:val="Estilodetabla2A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1A4D">
              <w:rPr>
                <w:rStyle w:val="Ninguno"/>
                <w:rFonts w:ascii="Times New Roman" w:hAnsi="Times New Roman" w:cs="Times New Roman"/>
                <w:bCs/>
                <w:sz w:val="18"/>
                <w:szCs w:val="18"/>
              </w:rPr>
              <w:t>EFECTOS de declarar infundado el recurso.</w:t>
            </w:r>
          </w:p>
        </w:tc>
        <w:tc>
          <w:tcPr>
            <w:tcW w:w="275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jc w:val="center"/>
              <w:rPr>
                <w:sz w:val="18"/>
                <w:szCs w:val="18"/>
              </w:rPr>
            </w:pPr>
            <w:r w:rsidRPr="00911A4D">
              <w:rPr>
                <w:sz w:val="18"/>
                <w:szCs w:val="18"/>
              </w:rPr>
              <w:t>X</w:t>
            </w:r>
          </w:p>
        </w:tc>
        <w:tc>
          <w:tcPr>
            <w:tcW w:w="269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jc w:val="both"/>
              <w:rPr>
                <w:sz w:val="18"/>
                <w:szCs w:val="18"/>
              </w:rPr>
            </w:pPr>
            <w:r w:rsidRPr="00911A4D">
              <w:rPr>
                <w:sz w:val="18"/>
                <w:szCs w:val="18"/>
              </w:rPr>
              <w:t>Si se declara infundado el recurso, se condenará en costas y perjuicios al recurrente.</w:t>
            </w:r>
          </w:p>
        </w:tc>
      </w:tr>
      <w:tr w:rsidR="00AC473D" w:rsidRPr="00911A4D" w:rsidTr="00AF3036">
        <w:tblPrEx>
          <w:shd w:val="clear" w:color="auto" w:fill="CDD4E9"/>
        </w:tblPrEx>
        <w:trPr>
          <w:trHeight w:val="50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pStyle w:val="Estilodetabla2A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1A4D">
              <w:rPr>
                <w:rStyle w:val="Ninguno"/>
                <w:rFonts w:ascii="Times New Roman" w:hAnsi="Times New Roman" w:cs="Times New Roman"/>
                <w:bCs/>
                <w:sz w:val="18"/>
                <w:szCs w:val="18"/>
              </w:rPr>
              <w:t>CONSECUENCIAS de la prosperidad del recurso.</w:t>
            </w:r>
          </w:p>
        </w:tc>
        <w:tc>
          <w:tcPr>
            <w:tcW w:w="275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jc w:val="center"/>
              <w:rPr>
                <w:sz w:val="18"/>
                <w:szCs w:val="18"/>
              </w:rPr>
            </w:pPr>
            <w:r w:rsidRPr="00911A4D">
              <w:rPr>
                <w:sz w:val="18"/>
                <w:szCs w:val="18"/>
              </w:rPr>
              <w:t>No lo contemplaba (x)</w:t>
            </w:r>
          </w:p>
        </w:tc>
        <w:tc>
          <w:tcPr>
            <w:tcW w:w="269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73D" w:rsidRPr="00911A4D" w:rsidRDefault="00AC473D" w:rsidP="00AF3036">
            <w:pPr>
              <w:jc w:val="both"/>
              <w:rPr>
                <w:sz w:val="18"/>
                <w:szCs w:val="18"/>
              </w:rPr>
            </w:pPr>
            <w:r w:rsidRPr="00911A4D">
              <w:rPr>
                <w:sz w:val="18"/>
                <w:szCs w:val="18"/>
              </w:rPr>
              <w:t>Si el competente encuentra fundada alguna de las causales de los numerales 1 a 4 y 6 a 8 del artículo </w:t>
            </w:r>
            <w:hyperlink r:id="rId14" w:anchor="250" w:history="1">
              <w:r w:rsidRPr="00911A4D">
                <w:rPr>
                  <w:rStyle w:val="Hipervnculo"/>
                  <w:sz w:val="18"/>
                  <w:szCs w:val="18"/>
                </w:rPr>
                <w:t>250</w:t>
              </w:r>
            </w:hyperlink>
            <w:r w:rsidRPr="00911A4D">
              <w:rPr>
                <w:sz w:val="18"/>
                <w:szCs w:val="18"/>
              </w:rPr>
              <w:t> de este código, o la del literal b) del artículo </w:t>
            </w:r>
            <w:hyperlink r:id="rId15" w:anchor="20" w:history="1">
              <w:r w:rsidRPr="00911A4D">
                <w:rPr>
                  <w:rStyle w:val="Hipervnculo"/>
                  <w:sz w:val="18"/>
                  <w:szCs w:val="18"/>
                </w:rPr>
                <w:t>20</w:t>
              </w:r>
            </w:hyperlink>
            <w:r w:rsidRPr="00911A4D">
              <w:rPr>
                <w:sz w:val="18"/>
                <w:szCs w:val="18"/>
              </w:rPr>
              <w:t> de la Ley 797 de 2003, invalidará la sentencia revisada y dictará la que en derecho corresponde.</w:t>
            </w:r>
          </w:p>
          <w:p w:rsidR="00AC473D" w:rsidRPr="00911A4D" w:rsidRDefault="00AC473D" w:rsidP="00AF3036">
            <w:pPr>
              <w:jc w:val="both"/>
              <w:rPr>
                <w:sz w:val="18"/>
                <w:szCs w:val="18"/>
              </w:rPr>
            </w:pPr>
          </w:p>
          <w:p w:rsidR="00AC473D" w:rsidRPr="00911A4D" w:rsidRDefault="00AC473D" w:rsidP="00AF3036">
            <w:pPr>
              <w:jc w:val="both"/>
              <w:rPr>
                <w:sz w:val="18"/>
                <w:szCs w:val="18"/>
              </w:rPr>
            </w:pPr>
            <w:r w:rsidRPr="00911A4D">
              <w:rPr>
                <w:sz w:val="18"/>
                <w:szCs w:val="18"/>
              </w:rPr>
              <w:t>En la sentencia que invalide la decisión revisada se resolverá sobre las restituciones, cancelaciones, perjuicios, frutos, mejoras, deterioros y demás consecuencias de dicha invalidación. Si en el expediente no existiere prueba para imponer la condena en concreto, esta se hará en abstracto y se dará cumplimiento a lo dispuesto en el artículo </w:t>
            </w:r>
            <w:hyperlink r:id="rId16" w:anchor="193" w:history="1">
              <w:r w:rsidRPr="00911A4D">
                <w:rPr>
                  <w:rStyle w:val="Hipervnculo"/>
                  <w:sz w:val="18"/>
                  <w:szCs w:val="18"/>
                </w:rPr>
                <w:t>193</w:t>
              </w:r>
            </w:hyperlink>
            <w:r w:rsidRPr="00911A4D">
              <w:rPr>
                <w:sz w:val="18"/>
                <w:szCs w:val="18"/>
              </w:rPr>
              <w:t> de este código.</w:t>
            </w:r>
          </w:p>
          <w:p w:rsidR="00AC473D" w:rsidRPr="00911A4D" w:rsidRDefault="00AC473D" w:rsidP="00AF3036">
            <w:pPr>
              <w:rPr>
                <w:sz w:val="18"/>
                <w:szCs w:val="18"/>
              </w:rPr>
            </w:pPr>
          </w:p>
          <w:p w:rsidR="00AC473D" w:rsidRPr="00911A4D" w:rsidRDefault="00AC473D" w:rsidP="00AF3036">
            <w:pPr>
              <w:jc w:val="both"/>
              <w:rPr>
                <w:sz w:val="18"/>
                <w:szCs w:val="18"/>
              </w:rPr>
            </w:pPr>
            <w:r w:rsidRPr="00911A4D">
              <w:rPr>
                <w:sz w:val="18"/>
                <w:szCs w:val="18"/>
              </w:rPr>
              <w:t>Si halla fundada la causal del numeral 5 del señalado artículo </w:t>
            </w:r>
            <w:hyperlink r:id="rId17" w:anchor="250" w:history="1">
              <w:r w:rsidRPr="00911A4D">
                <w:rPr>
                  <w:rStyle w:val="Hipervnculo"/>
                  <w:sz w:val="18"/>
                  <w:szCs w:val="18"/>
                </w:rPr>
                <w:t>250</w:t>
              </w:r>
            </w:hyperlink>
            <w:r w:rsidRPr="00911A4D">
              <w:rPr>
                <w:sz w:val="18"/>
                <w:szCs w:val="18"/>
              </w:rPr>
              <w:t>, o la del literal a) del artículo </w:t>
            </w:r>
            <w:hyperlink r:id="rId18" w:anchor="20" w:history="1">
              <w:r w:rsidRPr="00911A4D">
                <w:rPr>
                  <w:rStyle w:val="Hipervnculo"/>
                  <w:sz w:val="18"/>
                  <w:szCs w:val="18"/>
                </w:rPr>
                <w:t>20</w:t>
              </w:r>
            </w:hyperlink>
            <w:r w:rsidRPr="00911A4D">
              <w:rPr>
                <w:sz w:val="18"/>
                <w:szCs w:val="18"/>
              </w:rPr>
              <w:t xml:space="preserve"> de la Ley 797 de 2003, declarará la nulidad de la sentencia </w:t>
            </w:r>
            <w:r w:rsidRPr="00911A4D">
              <w:rPr>
                <w:sz w:val="18"/>
                <w:szCs w:val="18"/>
              </w:rPr>
              <w:lastRenderedPageBreak/>
              <w:t>o de la actuación afectada con la causal que dio lugar a la revisión, y devolverá el proceso a la autoridad judicial de origen para que rehaga lo actuado o dicte sentencia de nuevo, según corresponda.</w:t>
            </w:r>
          </w:p>
          <w:p w:rsidR="00AC473D" w:rsidRPr="00911A4D" w:rsidRDefault="00AC473D" w:rsidP="00AF3036">
            <w:pPr>
              <w:rPr>
                <w:sz w:val="18"/>
                <w:szCs w:val="18"/>
              </w:rPr>
            </w:pPr>
          </w:p>
          <w:p w:rsidR="00AC473D" w:rsidRPr="00911A4D" w:rsidRDefault="00AC473D" w:rsidP="00AF3036">
            <w:pPr>
              <w:rPr>
                <w:sz w:val="18"/>
                <w:szCs w:val="18"/>
              </w:rPr>
            </w:pPr>
          </w:p>
          <w:p w:rsidR="00AC473D" w:rsidRPr="00911A4D" w:rsidRDefault="00AC473D" w:rsidP="00AF3036">
            <w:pPr>
              <w:rPr>
                <w:sz w:val="18"/>
                <w:szCs w:val="18"/>
              </w:rPr>
            </w:pPr>
          </w:p>
          <w:p w:rsidR="00AC473D" w:rsidRPr="00911A4D" w:rsidRDefault="00AC473D" w:rsidP="00AF3036">
            <w:pPr>
              <w:rPr>
                <w:sz w:val="18"/>
                <w:szCs w:val="18"/>
              </w:rPr>
            </w:pPr>
          </w:p>
        </w:tc>
      </w:tr>
    </w:tbl>
    <w:p w:rsidR="00AC473D" w:rsidRDefault="00AC473D" w:rsidP="00B821FE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Ninguno"/>
          <w:b/>
          <w:bCs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AC473D" w:rsidRDefault="00AC473D" w:rsidP="00B821FE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Ninguno"/>
          <w:b/>
          <w:bCs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B821FE" w:rsidRDefault="00B821FE" w:rsidP="00B821FE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Ninguno"/>
          <w:b/>
          <w:bCs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b/>
          <w:bCs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EJERCICIO 2. MECANISMO DE UNIFICACIÓN DE JURISPRUDENCIA (preventivo)</w:t>
      </w:r>
    </w:p>
    <w:p w:rsidR="00B821FE" w:rsidRDefault="00B821FE" w:rsidP="00B821FE"/>
    <w:p w:rsidR="00B821FE" w:rsidRDefault="00B821FE" w:rsidP="00B821FE">
      <w:bookmarkStart w:id="0" w:name="_GoBack"/>
      <w:bookmarkEnd w:id="0"/>
    </w:p>
    <w:tbl>
      <w:tblPr>
        <w:tblStyle w:val="TableNormal"/>
        <w:tblW w:w="8568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3120"/>
        <w:gridCol w:w="2613"/>
        <w:gridCol w:w="2835"/>
      </w:tblGrid>
      <w:tr w:rsidR="00B821FE" w:rsidRPr="00911A4D" w:rsidTr="00B54023">
        <w:trPr>
          <w:trHeight w:val="489"/>
          <w:tblHeader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18"/>
                <w:szCs w:val="18"/>
              </w:rPr>
            </w:pPr>
            <w:r w:rsidRPr="00911A4D">
              <w:rPr>
                <w:rStyle w:val="Ninguno"/>
                <w:bCs/>
                <w:color w:val="FFFFFF"/>
                <w:sz w:val="18"/>
                <w:szCs w:val="18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ASPECTO PROCESAL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keepNext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sz w:val="18"/>
                <w:szCs w:val="18"/>
              </w:rPr>
            </w:pPr>
            <w:r w:rsidRPr="00911A4D">
              <w:rPr>
                <w:rStyle w:val="Ninguno"/>
                <w:bCs/>
                <w:color w:val="FFFFFF"/>
                <w:sz w:val="18"/>
                <w:szCs w:val="18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LEY 1437 DE 2011 (texto original)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sz w:val="18"/>
                <w:szCs w:val="18"/>
              </w:rPr>
            </w:pPr>
            <w:r w:rsidRPr="00911A4D">
              <w:rPr>
                <w:rStyle w:val="Ninguno"/>
                <w:bCs/>
                <w:color w:val="FFFFFF"/>
                <w:sz w:val="18"/>
                <w:szCs w:val="18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LEY 2080 DE 2021</w:t>
            </w:r>
          </w:p>
        </w:tc>
      </w:tr>
      <w:tr w:rsidR="00B821FE" w:rsidRPr="00911A4D" w:rsidTr="00B54023">
        <w:tblPrEx>
          <w:shd w:val="clear" w:color="auto" w:fill="CDD4E9"/>
        </w:tblPrEx>
        <w:trPr>
          <w:trHeight w:val="2535"/>
        </w:trPr>
        <w:tc>
          <w:tcPr>
            <w:tcW w:w="3120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sz w:val="18"/>
                <w:szCs w:val="18"/>
              </w:rPr>
            </w:pPr>
            <w:r w:rsidRPr="00911A4D">
              <w:rPr>
                <w:rStyle w:val="Ninguno"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PROVIDENCIAS SOBRE LAS QUE RECAE EL MECANISMO</w:t>
            </w:r>
          </w:p>
        </w:tc>
        <w:tc>
          <w:tcPr>
            <w:tcW w:w="2613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tabs>
                <w:tab w:val="left" w:pos="708"/>
                <w:tab w:val="left" w:pos="1416"/>
                <w:tab w:val="left" w:pos="2124"/>
              </w:tabs>
              <w:spacing w:line="254" w:lineRule="atLeast"/>
              <w:jc w:val="both"/>
              <w:rPr>
                <w:rStyle w:val="Ninguno"/>
                <w:rFonts w:eastAsia="Helvetica Neue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11A4D">
              <w:rPr>
                <w:rStyle w:val="Ninguno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Son susceptibles de este mecanismo: </w:t>
            </w:r>
          </w:p>
          <w:p w:rsidR="00B821FE" w:rsidRPr="00911A4D" w:rsidRDefault="00B821FE" w:rsidP="00B54023">
            <w:pPr>
              <w:numPr>
                <w:ilvl w:val="0"/>
                <w:numId w:val="1"/>
              </w:numPr>
              <w:spacing w:line="254" w:lineRule="atLeast"/>
              <w:jc w:val="both"/>
              <w:rPr>
                <w:color w:val="000000"/>
                <w:sz w:val="18"/>
                <w:szCs w:val="18"/>
                <w:u w:color="000000"/>
                <w:shd w:val="clear" w:color="auto" w:fill="E0E0E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11A4D">
              <w:rPr>
                <w:rStyle w:val="Ninguno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Los asuntos pendientes de fallo en el Consejo de Estado. </w:t>
            </w:r>
          </w:p>
          <w:p w:rsidR="00B821FE" w:rsidRPr="00911A4D" w:rsidRDefault="00B821FE" w:rsidP="00B54023">
            <w:pPr>
              <w:numPr>
                <w:ilvl w:val="0"/>
                <w:numId w:val="1"/>
              </w:numPr>
              <w:spacing w:line="254" w:lineRule="atLeast"/>
              <w:jc w:val="both"/>
              <w:rPr>
                <w:color w:val="000000"/>
                <w:sz w:val="18"/>
                <w:szCs w:val="18"/>
                <w:u w:color="000000"/>
                <w:shd w:val="clear" w:color="auto" w:fill="E0E0E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11A4D">
              <w:rPr>
                <w:rStyle w:val="Ninguno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Los asuntos remitidos por las secciones o subsecciones de los tribunales, en única o segunda instancia.</w:t>
            </w:r>
          </w:p>
        </w:tc>
        <w:tc>
          <w:tcPr>
            <w:tcW w:w="2835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70" w:lineRule="atLeast"/>
              <w:jc w:val="both"/>
              <w:rPr>
                <w:rFonts w:eastAsia="Times New Roman"/>
                <w:color w:val="4B4949"/>
                <w:sz w:val="18"/>
                <w:szCs w:val="18"/>
                <w:bdr w:val="none" w:sz="0" w:space="0" w:color="auto"/>
                <w:lang w:val="es-MX" w:eastAsia="es-MX"/>
              </w:rPr>
            </w:pPr>
            <w:r w:rsidRPr="00911A4D">
              <w:rPr>
                <w:rFonts w:eastAsia="Times New Roman"/>
                <w:sz w:val="18"/>
                <w:szCs w:val="18"/>
                <w:bdr w:val="none" w:sz="0" w:space="0" w:color="auto"/>
                <w:lang w:val="es-MX" w:eastAsia="es-MX"/>
              </w:rPr>
              <w:t xml:space="preserve">Además de los descritos en la ley 1437 de 2011 </w:t>
            </w:r>
            <w:r w:rsidRPr="00911A4D">
              <w:rPr>
                <w:rStyle w:val="Ningun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establece que también recae sobre asuntos pendientes de decisión interlocutoria, las secciones del Consejo de Estado dictarán sentencias y autos de unificación en relación </w:t>
            </w:r>
            <w:r w:rsidRPr="00911A4D">
              <w:rPr>
                <w:rStyle w:val="Ninguno"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con los asuntos de los despachos </w:t>
            </w:r>
            <w:r w:rsidRPr="00911A4D">
              <w:rPr>
                <w:rStyle w:val="Ningun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 los magistrados del Consejo de Estado, ampliando esta posibilidad que se refería antes sólo a los asuntos de las subsecciones</w:t>
            </w:r>
          </w:p>
        </w:tc>
      </w:tr>
      <w:tr w:rsidR="00B821FE" w:rsidRPr="00911A4D" w:rsidTr="00B54023">
        <w:tblPrEx>
          <w:shd w:val="clear" w:color="auto" w:fill="CDD4E9"/>
        </w:tblPrEx>
        <w:trPr>
          <w:trHeight w:val="216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sz w:val="18"/>
                <w:szCs w:val="18"/>
              </w:rPr>
            </w:pPr>
            <w:r w:rsidRPr="00911A4D">
              <w:rPr>
                <w:rStyle w:val="Ninguno"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LEGITIMACIÓN POR ACTIVA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numPr>
                <w:ilvl w:val="0"/>
                <w:numId w:val="2"/>
              </w:numPr>
              <w:rPr>
                <w:color w:val="000000"/>
                <w:sz w:val="18"/>
                <w:szCs w:val="18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11A4D">
              <w:rPr>
                <w:rStyle w:val="Ninguno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 Consejo de Estado de oficio.</w:t>
            </w:r>
          </w:p>
          <w:p w:rsidR="00B821FE" w:rsidRPr="00911A4D" w:rsidRDefault="00B821FE" w:rsidP="00B54023">
            <w:pPr>
              <w:numPr>
                <w:ilvl w:val="0"/>
                <w:numId w:val="2"/>
              </w:numPr>
              <w:rPr>
                <w:color w:val="000000"/>
                <w:sz w:val="18"/>
                <w:szCs w:val="18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11A4D">
              <w:rPr>
                <w:rStyle w:val="Ninguno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solicitud de parte.</w:t>
            </w:r>
          </w:p>
          <w:p w:rsidR="00B821FE" w:rsidRPr="00911A4D" w:rsidRDefault="00B821FE" w:rsidP="00B54023">
            <w:pPr>
              <w:numPr>
                <w:ilvl w:val="0"/>
                <w:numId w:val="2"/>
              </w:numPr>
              <w:rPr>
                <w:color w:val="000000"/>
                <w:sz w:val="18"/>
                <w:szCs w:val="18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11A4D">
              <w:rPr>
                <w:rStyle w:val="Ninguno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Los Tribunales por remisión de los asuntos que conocen en única o segunda instancia. </w:t>
            </w:r>
          </w:p>
          <w:p w:rsidR="00B821FE" w:rsidRPr="00911A4D" w:rsidRDefault="00B821FE" w:rsidP="00B54023">
            <w:pPr>
              <w:numPr>
                <w:ilvl w:val="0"/>
                <w:numId w:val="2"/>
              </w:numPr>
              <w:rPr>
                <w:color w:val="000000"/>
                <w:sz w:val="18"/>
                <w:szCs w:val="18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11A4D">
              <w:rPr>
                <w:rStyle w:val="Ninguno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petición del Ministerio Público. 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rPr>
                <w:sz w:val="18"/>
                <w:szCs w:val="18"/>
              </w:rPr>
            </w:pPr>
            <w:r w:rsidRPr="00911A4D">
              <w:rPr>
                <w:sz w:val="18"/>
                <w:szCs w:val="18"/>
              </w:rPr>
              <w:t>Ademas de los contemplados en la ley 1437 de agerga a la ANDJE</w:t>
            </w:r>
          </w:p>
        </w:tc>
      </w:tr>
      <w:tr w:rsidR="00B821FE" w:rsidRPr="00911A4D" w:rsidTr="00B54023">
        <w:tblPrEx>
          <w:shd w:val="clear" w:color="auto" w:fill="CDD4E9"/>
        </w:tblPrEx>
        <w:trPr>
          <w:trHeight w:val="288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sz w:val="18"/>
                <w:szCs w:val="18"/>
              </w:rPr>
            </w:pPr>
            <w:r w:rsidRPr="00911A4D">
              <w:rPr>
                <w:rStyle w:val="Ninguno"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COMPETENCIA 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numPr>
                <w:ilvl w:val="0"/>
                <w:numId w:val="3"/>
              </w:numPr>
              <w:rPr>
                <w:color w:val="000000"/>
                <w:sz w:val="18"/>
                <w:szCs w:val="18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11A4D">
              <w:rPr>
                <w:rStyle w:val="Ninguno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Sala Plena de lo Contencioso Administrativo del Consejo de Estado cuando los asuntos provengan de sus secciones. </w:t>
            </w:r>
          </w:p>
          <w:p w:rsidR="00B821FE" w:rsidRPr="00911A4D" w:rsidRDefault="00B821FE" w:rsidP="00B54023">
            <w:pPr>
              <w:numPr>
                <w:ilvl w:val="0"/>
                <w:numId w:val="4"/>
              </w:numPr>
              <w:rPr>
                <w:color w:val="000000"/>
                <w:sz w:val="18"/>
                <w:szCs w:val="18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11A4D">
              <w:rPr>
                <w:rStyle w:val="Ninguno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Las secciones del Consejo de Estado cuando los asuntos provengan de los tribunales. 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jc w:val="both"/>
              <w:rPr>
                <w:sz w:val="18"/>
                <w:szCs w:val="18"/>
              </w:rPr>
            </w:pPr>
            <w:r w:rsidRPr="00911A4D">
              <w:rPr>
                <w:sz w:val="18"/>
                <w:szCs w:val="18"/>
              </w:rPr>
              <w:t>Igual que la ley 1437 de 2011y</w:t>
            </w:r>
            <w:r w:rsidRPr="00911A4D">
              <w:rPr>
                <w:rStyle w:val="Ningun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Consagra que en caso de unificación sobre aspectos procesales transversales la competencia es de la Sala Plena del Consejo de Estado</w:t>
            </w:r>
          </w:p>
        </w:tc>
      </w:tr>
      <w:tr w:rsidR="00B821FE" w:rsidRPr="00911A4D" w:rsidTr="00B54023">
        <w:tblPrEx>
          <w:shd w:val="clear" w:color="auto" w:fill="CDD4E9"/>
        </w:tblPrEx>
        <w:trPr>
          <w:trHeight w:val="192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sz w:val="18"/>
                <w:szCs w:val="18"/>
              </w:rPr>
            </w:pPr>
            <w:r w:rsidRPr="00911A4D">
              <w:rPr>
                <w:rStyle w:val="Ninguno"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OPORTUNIDAD PROCESAL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pStyle w:val="Cuerpo"/>
              <w:tabs>
                <w:tab w:val="left" w:pos="708"/>
                <w:tab w:val="left" w:pos="1416"/>
                <w:tab w:val="left" w:pos="212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1A4D">
              <w:rPr>
                <w:rStyle w:val="Ninguno"/>
                <w:rFonts w:ascii="Times New Roman" w:hAnsi="Times New Roman" w:cs="Times New Roman"/>
                <w:sz w:val="18"/>
                <w:szCs w:val="18"/>
                <w:u w:color="000000"/>
              </w:rPr>
              <w:t xml:space="preserve">El Consejo de Estado podrá asumir conocimiento mientras el asunto se encuentre pendiente de fallo ya sea en sus mismas secciones o proveniente de los tribunales. 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pStyle w:val="Predeterminad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both"/>
              <w:rPr>
                <w:rStyle w:val="Ninguno"/>
                <w:rFonts w:ascii="Times New Roman" w:hAnsi="Times New Roman" w:cs="Times New Roman"/>
                <w:color w:val="aut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11A4D">
              <w:rPr>
                <w:rStyle w:val="Ninguno"/>
                <w:rFonts w:ascii="Times New Roman" w:hAnsi="Times New Roman" w:cs="Times New Roman"/>
                <w:color w:val="aut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Indica un momento procesal para asumir el trámite a solicitud de parte o de la Agencia Nacional de Defensa Jurídica del Estado, a saber, que la solicitud respectiva se haya formulado antes de que se registre ponencia de fallo; pero si la petición proviene de un consejero de Estado, del tribunal administrativo o del Ministerio Público, podrá formularse en cualquier tiempo; y se restringe, en el caso de la ANDJE, a los casos en que esta previamente haya intervenido o se haya hecho parte dentro del proceso. </w:t>
            </w:r>
          </w:p>
          <w:p w:rsidR="00B821FE" w:rsidRPr="00911A4D" w:rsidRDefault="00B821FE" w:rsidP="00B54023">
            <w:pPr>
              <w:rPr>
                <w:sz w:val="18"/>
                <w:szCs w:val="18"/>
              </w:rPr>
            </w:pPr>
          </w:p>
        </w:tc>
      </w:tr>
      <w:tr w:rsidR="00B821FE" w:rsidRPr="00911A4D" w:rsidTr="00B54023">
        <w:tblPrEx>
          <w:shd w:val="clear" w:color="auto" w:fill="CDD4E9"/>
        </w:tblPrEx>
        <w:trPr>
          <w:trHeight w:val="2460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sz w:val="18"/>
                <w:szCs w:val="18"/>
              </w:rPr>
            </w:pPr>
            <w:r w:rsidRPr="00911A4D">
              <w:rPr>
                <w:rStyle w:val="Ninguno"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CAUSALES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pStyle w:val="Cuerpo"/>
              <w:tabs>
                <w:tab w:val="left" w:pos="708"/>
                <w:tab w:val="left" w:pos="1416"/>
                <w:tab w:val="left" w:pos="212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1A4D">
              <w:rPr>
                <w:rStyle w:val="Ninguno"/>
                <w:rFonts w:ascii="Times New Roman" w:hAnsi="Times New Roman" w:cs="Times New Roman"/>
                <w:sz w:val="18"/>
                <w:szCs w:val="18"/>
                <w:u w:color="000000"/>
              </w:rPr>
              <w:t>Se proferirán decisiones de unificación jurisprudencial en los siguientes casos:   por razones de importancia jurídica, trascendencia económica o social o necesidad de sentar jurisprudencia.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jc w:val="both"/>
              <w:rPr>
                <w:sz w:val="18"/>
                <w:szCs w:val="18"/>
              </w:rPr>
            </w:pPr>
            <w:r w:rsidRPr="00911A4D">
              <w:rPr>
                <w:rStyle w:val="Ninguno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Además de la causal ya descrita en la ley 1437 de 2011, señala una nueva causal para proceder al mecanismo de unificación de jurisprudencia, a saber, la de precisar el alcance o resolver divergencias en la interpretación y aplicación de la jurisprudencia.</w:t>
            </w:r>
          </w:p>
        </w:tc>
      </w:tr>
      <w:tr w:rsidR="00B821FE" w:rsidRPr="00911A4D" w:rsidTr="00B54023">
        <w:tblPrEx>
          <w:shd w:val="clear" w:color="auto" w:fill="CDD4E9"/>
        </w:tblPrEx>
        <w:trPr>
          <w:trHeight w:val="51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sz w:val="18"/>
                <w:szCs w:val="18"/>
              </w:rPr>
            </w:pPr>
            <w:r w:rsidRPr="00911A4D">
              <w:rPr>
                <w:rStyle w:val="Ninguno"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MECANISMO ELECTRÓNICO DE IDENTIFICACIÓN 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pStyle w:val="Cuerpo"/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1A4D">
              <w:rPr>
                <w:rStyle w:val="Ninguno"/>
                <w:rFonts w:ascii="Times New Roman" w:hAnsi="Times New Roman" w:cs="Times New Roman"/>
                <w:sz w:val="18"/>
                <w:szCs w:val="18"/>
                <w:u w:color="000000"/>
              </w:rPr>
              <w:t xml:space="preserve">                 X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21FE" w:rsidRPr="00911A4D" w:rsidRDefault="00B821FE" w:rsidP="00B54023">
            <w:pPr>
              <w:jc w:val="both"/>
              <w:rPr>
                <w:sz w:val="18"/>
                <w:szCs w:val="18"/>
              </w:rPr>
            </w:pPr>
            <w:r w:rsidRPr="00911A4D">
              <w:rPr>
                <w:rStyle w:val="Ninguno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Dispuso implementar un mecanismo electrónico que permita identificar en el Consejo de Estados, tribunales y juzgados administrativos las materias y temas que deban ser objeto del mecanismo de unificación de jurisprudencia.</w:t>
            </w:r>
          </w:p>
        </w:tc>
      </w:tr>
    </w:tbl>
    <w:p w:rsidR="00B821FE" w:rsidRDefault="00B821FE" w:rsidP="00B821FE">
      <w:pPr>
        <w:pStyle w:val="Predetermin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324" w:hanging="324"/>
        <w:jc w:val="both"/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B821FE" w:rsidRDefault="00B821FE" w:rsidP="00B821FE">
      <w:pPr>
        <w:pStyle w:val="Predetermin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216" w:hanging="216"/>
        <w:jc w:val="both"/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B821FE" w:rsidRDefault="00B821FE" w:rsidP="00B821FE"/>
    <w:p w:rsidR="005429B8" w:rsidRDefault="005429B8"/>
    <w:sectPr w:rsidR="005429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7DD" w:rsidRDefault="00B637DD">
      <w:r>
        <w:separator/>
      </w:r>
    </w:p>
  </w:endnote>
  <w:endnote w:type="continuationSeparator" w:id="0">
    <w:p w:rsidR="00B637DD" w:rsidRDefault="00B6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7DD" w:rsidRDefault="00B637DD">
      <w:r>
        <w:separator/>
      </w:r>
    </w:p>
  </w:footnote>
  <w:footnote w:type="continuationSeparator" w:id="0">
    <w:p w:rsidR="00B637DD" w:rsidRDefault="00B63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426E"/>
    <w:multiLevelType w:val="hybridMultilevel"/>
    <w:tmpl w:val="83361546"/>
    <w:lvl w:ilvl="0" w:tplc="858A614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16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A4F8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88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1A65A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60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52CB6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232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E8FAC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04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A6C67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76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F6DFD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448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02D69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20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DCB03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592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DC91B9D"/>
    <w:multiLevelType w:val="hybridMultilevel"/>
    <w:tmpl w:val="15AEF1E2"/>
    <w:lvl w:ilvl="0" w:tplc="07440AE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161" w:hanging="1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F286B2">
      <w:start w:val="1"/>
      <w:numFmt w:val="bullet"/>
      <w:suff w:val="nothing"/>
      <w:lvlText w:val="o"/>
      <w:lvlJc w:val="left"/>
      <w:pPr>
        <w:tabs>
          <w:tab w:val="left" w:pos="708"/>
          <w:tab w:val="left" w:pos="1416"/>
          <w:tab w:val="left" w:pos="2124"/>
        </w:tabs>
        <w:ind w:left="881" w:hanging="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5EB77E">
      <w:start w:val="1"/>
      <w:numFmt w:val="bullet"/>
      <w:lvlText w:val="▪"/>
      <w:lvlJc w:val="left"/>
      <w:pPr>
        <w:tabs>
          <w:tab w:val="left" w:pos="708"/>
          <w:tab w:val="left" w:pos="2124"/>
        </w:tabs>
        <w:ind w:left="1601" w:hanging="6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8856A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2321" w:hanging="1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0A4676">
      <w:start w:val="1"/>
      <w:numFmt w:val="bullet"/>
      <w:suff w:val="nothing"/>
      <w:lvlText w:val="o"/>
      <w:lvlJc w:val="left"/>
      <w:pPr>
        <w:tabs>
          <w:tab w:val="left" w:pos="708"/>
          <w:tab w:val="left" w:pos="1416"/>
          <w:tab w:val="left" w:pos="2124"/>
        </w:tabs>
        <w:ind w:left="3041" w:hanging="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1CE92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761" w:hanging="6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4CA83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4481" w:hanging="1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2CF32C">
      <w:start w:val="1"/>
      <w:numFmt w:val="bullet"/>
      <w:suff w:val="nothing"/>
      <w:lvlText w:val="o"/>
      <w:lvlJc w:val="left"/>
      <w:pPr>
        <w:tabs>
          <w:tab w:val="left" w:pos="708"/>
          <w:tab w:val="left" w:pos="1416"/>
          <w:tab w:val="left" w:pos="2124"/>
        </w:tabs>
        <w:ind w:left="5201" w:hanging="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AEADF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5921" w:hanging="5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9CB2FDB"/>
    <w:multiLevelType w:val="hybridMultilevel"/>
    <w:tmpl w:val="20A01362"/>
    <w:lvl w:ilvl="0" w:tplc="E92CC4E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16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AE559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88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3A2BB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60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6A3C2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232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FC163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04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AECA5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76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560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448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325CE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20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2835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592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 w:tplc="858A614E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</w:tabs>
          <w:ind w:left="189" w:hanging="1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595A4F8E">
        <w:start w:val="1"/>
        <w:numFmt w:val="bullet"/>
        <w:lvlText w:val="o"/>
        <w:lvlJc w:val="left"/>
        <w:pPr>
          <w:tabs>
            <w:tab w:val="left" w:pos="1416"/>
            <w:tab w:val="left" w:pos="2124"/>
          </w:tabs>
          <w:ind w:left="1016" w:hanging="8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761A65AA">
        <w:start w:val="1"/>
        <w:numFmt w:val="bullet"/>
        <w:lvlText w:val="▪"/>
        <w:lvlJc w:val="left"/>
        <w:pPr>
          <w:tabs>
            <w:tab w:val="left" w:pos="708"/>
            <w:tab w:val="left" w:pos="2124"/>
          </w:tabs>
          <w:ind w:left="1734" w:hanging="7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8452CB6A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</w:tabs>
          <w:ind w:left="2349" w:hanging="1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18E8FAC0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</w:tabs>
          <w:ind w:left="3169" w:hanging="76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36A6C67C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</w:tabs>
          <w:ind w:left="3887" w:hanging="7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3BF6DFD2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</w:tabs>
          <w:ind w:left="4509" w:hanging="1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2A02D694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</w:tabs>
          <w:ind w:left="5322" w:hanging="7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90DCB03E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</w:tabs>
          <w:ind w:left="6040" w:hanging="7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FE"/>
    <w:rsid w:val="00295559"/>
    <w:rsid w:val="002C7E81"/>
    <w:rsid w:val="005429B8"/>
    <w:rsid w:val="0066264F"/>
    <w:rsid w:val="006E0E0B"/>
    <w:rsid w:val="00911A4D"/>
    <w:rsid w:val="00AC473D"/>
    <w:rsid w:val="00B637DD"/>
    <w:rsid w:val="00B8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1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B821F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B821FE"/>
    <w:rPr>
      <w:lang w:val="es-ES_tradnl"/>
    </w:rPr>
  </w:style>
  <w:style w:type="table" w:customStyle="1" w:styleId="TableNormal">
    <w:name w:val="Table Normal"/>
    <w:rsid w:val="00B821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-CO"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B821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B8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21FE"/>
    <w:rPr>
      <w:rFonts w:ascii="Times New Roman" w:eastAsia="Arial Unicode MS" w:hAnsi="Times New Roman" w:cs="Times New Roman"/>
      <w:sz w:val="24"/>
      <w:szCs w:val="24"/>
      <w:bdr w:val="nil"/>
      <w:lang w:val="es-419"/>
    </w:rPr>
  </w:style>
  <w:style w:type="paragraph" w:customStyle="1" w:styleId="Estilodetabla3A">
    <w:name w:val="Estilo de tabla 3 A"/>
    <w:rsid w:val="00AC473D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FFFFFF"/>
      <w:sz w:val="20"/>
      <w:szCs w:val="20"/>
      <w:u w:color="FFFFFF"/>
      <w:bdr w:val="nil"/>
      <w:lang w:val="es-ES_tradnl" w:eastAsia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Estilodetabla2A">
    <w:name w:val="Estilo de tabla 2 A"/>
    <w:rsid w:val="00AC47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val="es-ES_tradnl" w:eastAsia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AC47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CO"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AC473D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C7E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E81"/>
    <w:rPr>
      <w:rFonts w:ascii="Times New Roman" w:eastAsia="Arial Unicode MS" w:hAnsi="Times New Roman" w:cs="Times New Roman"/>
      <w:sz w:val="24"/>
      <w:szCs w:val="24"/>
      <w:bdr w:val="nil"/>
      <w:lang w:val="es-4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1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B821F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B821FE"/>
    <w:rPr>
      <w:lang w:val="es-ES_tradnl"/>
    </w:rPr>
  </w:style>
  <w:style w:type="table" w:customStyle="1" w:styleId="TableNormal">
    <w:name w:val="Table Normal"/>
    <w:rsid w:val="00B821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-CO"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B821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B8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21FE"/>
    <w:rPr>
      <w:rFonts w:ascii="Times New Roman" w:eastAsia="Arial Unicode MS" w:hAnsi="Times New Roman" w:cs="Times New Roman"/>
      <w:sz w:val="24"/>
      <w:szCs w:val="24"/>
      <w:bdr w:val="nil"/>
      <w:lang w:val="es-419"/>
    </w:rPr>
  </w:style>
  <w:style w:type="paragraph" w:customStyle="1" w:styleId="Estilodetabla3A">
    <w:name w:val="Estilo de tabla 3 A"/>
    <w:rsid w:val="00AC473D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FFFFFF"/>
      <w:sz w:val="20"/>
      <w:szCs w:val="20"/>
      <w:u w:color="FFFFFF"/>
      <w:bdr w:val="nil"/>
      <w:lang w:val="es-ES_tradnl" w:eastAsia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Estilodetabla2A">
    <w:name w:val="Estilo de tabla 2 A"/>
    <w:rsid w:val="00AC47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val="es-ES_tradnl" w:eastAsia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AC47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CO"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AC473D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C7E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E81"/>
    <w:rPr>
      <w:rFonts w:ascii="Times New Roman" w:eastAsia="Arial Unicode MS" w:hAnsi="Times New Roman" w:cs="Times New Roman"/>
      <w:sz w:val="24"/>
      <w:szCs w:val="24"/>
      <w:bdr w:val="nil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retariasenado.gov.co/senado/basedoc/ley_1437_2011_pr005.html" TargetMode="External"/><Relationship Id="rId13" Type="http://schemas.openxmlformats.org/officeDocument/2006/relationships/hyperlink" Target="http://www.secretariasenado.gov.co/senado/basedoc/ley_0797_2003.html" TargetMode="External"/><Relationship Id="rId18" Type="http://schemas.openxmlformats.org/officeDocument/2006/relationships/hyperlink" Target="http://www.secretariasenado.gov.co/senado/basedoc/ley_0797_2003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ecretariasenado.gov.co/senado/basedoc/ley_1437_2011_pr005.html" TargetMode="External"/><Relationship Id="rId17" Type="http://schemas.openxmlformats.org/officeDocument/2006/relationships/hyperlink" Target="http://www.secretariasenado.gov.co/senado/basedoc/ley_1437_2011_pr00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ecretariasenado.gov.co/senado/basedoc/ley_1437_2011_pr004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ecretariasenado.gov.co/senado/basedoc/ley_1437_2011_pr00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cretariasenado.gov.co/senado/basedoc/ley_0797_2003.html" TargetMode="External"/><Relationship Id="rId10" Type="http://schemas.openxmlformats.org/officeDocument/2006/relationships/hyperlink" Target="http://www.secretariasenado.gov.co/senado/basedoc/ley_0797_2003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cretariasenado.gov.co/senado/basedoc/ley_1437_2011_pr005.html" TargetMode="External"/><Relationship Id="rId14" Type="http://schemas.openxmlformats.org/officeDocument/2006/relationships/hyperlink" Target="http://www.secretariasenado.gov.co/senado/basedoc/ley_1437_2011_pr005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1471</Words>
  <Characters>8091</Characters>
  <Application>Microsoft Office Word</Application>
  <DocSecurity>0</DocSecurity>
  <Lines>67</Lines>
  <Paragraphs>19</Paragraphs>
  <ScaleCrop>false</ScaleCrop>
  <Company>HP</Company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MIGUEL</cp:lastModifiedBy>
  <cp:revision>5</cp:revision>
  <dcterms:created xsi:type="dcterms:W3CDTF">2021-09-20T11:36:00Z</dcterms:created>
  <dcterms:modified xsi:type="dcterms:W3CDTF">2021-09-20T11:43:00Z</dcterms:modified>
</cp:coreProperties>
</file>