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DCDF" w14:textId="77777777" w:rsidR="009F697D" w:rsidRDefault="009F697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14:textOutline w14:w="12700" w14:cap="flat" w14:cmpd="sng" w14:algn="ctr">
            <w14:noFill/>
            <w14:prstDash w14:val="solid"/>
            <w14:miter w14:lim="400000"/>
          </w14:textOutline>
        </w:rPr>
      </w:pPr>
    </w:p>
    <w:p w14:paraId="2E562F81" w14:textId="77777777" w:rsidR="009F697D" w:rsidRDefault="008A2F4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b/>
          <w:bCs/>
          <w:sz w:val="22"/>
          <w:szCs w:val="22"/>
          <w:u w:color="000000"/>
          <w14:textOutline w14:w="12700" w14:cap="flat" w14:cmpd="sng" w14:algn="ctr">
            <w14:noFill/>
            <w14:prstDash w14:val="solid"/>
            <w14:miter w14:lim="400000"/>
          </w14:textOutline>
        </w:rPr>
      </w:pPr>
      <w:r>
        <w:rPr>
          <w:rStyle w:val="Ninguno"/>
          <w:rFonts w:ascii="Helvetica" w:hAnsi="Helvetica"/>
          <w:b/>
          <w:bCs/>
          <w:sz w:val="22"/>
          <w:szCs w:val="22"/>
          <w:u w:color="000000"/>
          <w14:textOutline w14:w="12700" w14:cap="flat" w14:cmpd="sng" w14:algn="ctr">
            <w14:noFill/>
            <w14:prstDash w14:val="solid"/>
            <w14:miter w14:lim="400000"/>
          </w14:textOutline>
        </w:rPr>
        <w:t>TALLER SOBRE RECURSOS EXTRAORDINARIOS DE LA MESA DE ESTUDIO No. 3.</w:t>
      </w:r>
    </w:p>
    <w:p w14:paraId="3B692F32" w14:textId="77777777" w:rsidR="009F697D" w:rsidRDefault="008A2F4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b/>
          <w:bCs/>
          <w:sz w:val="22"/>
          <w:szCs w:val="22"/>
          <w:u w:color="000000"/>
          <w14:textOutline w14:w="12700" w14:cap="flat" w14:cmpd="sng" w14:algn="ctr">
            <w14:noFill/>
            <w14:prstDash w14:val="solid"/>
            <w14:miter w14:lim="400000"/>
          </w14:textOutline>
        </w:rPr>
      </w:pPr>
      <w:r>
        <w:rPr>
          <w:rStyle w:val="Ninguno"/>
          <w:rFonts w:ascii="Helvetica" w:hAnsi="Helvetica"/>
          <w:b/>
          <w:bCs/>
          <w:sz w:val="22"/>
          <w:szCs w:val="22"/>
          <w:u w:color="000000"/>
          <w14:textOutline w14:w="12700" w14:cap="flat" w14:cmpd="sng" w14:algn="ctr">
            <w14:noFill/>
            <w14:prstDash w14:val="solid"/>
            <w14:miter w14:lim="400000"/>
          </w14:textOutline>
        </w:rPr>
        <w:t>(Trabajo sincrónico)</w:t>
      </w:r>
    </w:p>
    <w:p w14:paraId="43569712" w14:textId="77777777" w:rsidR="009F697D" w:rsidRDefault="009F697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BEE5D1C" w14:textId="77777777" w:rsidR="009F697D" w:rsidRDefault="009F697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3276F7A1" w14:textId="77777777" w:rsidR="009F697D" w:rsidRDefault="008A2F4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EJERCICIO 1. PROVIDENCIAS DE UNIFICACIÓN</w:t>
      </w:r>
      <w:r>
        <w:rPr>
          <w:rStyle w:val="Ninguno"/>
          <w:u w:color="000000"/>
          <w14:textOutline w14:w="12700" w14:cap="flat" w14:cmpd="sng" w14:algn="ctr">
            <w14:noFill/>
            <w14:prstDash w14:val="solid"/>
            <w14:miter w14:lim="400000"/>
          </w14:textOutline>
        </w:rPr>
        <w:t>. Lea los textos de los artículos 270 de la Ley 1437 de 2011 (texto original) y 78 de la Ley 2080 de 2021. Identifique en el cuadro las diferencias entre ambos textos y reflexione sobre los efectos que pueden derivarse de tales diferencias.</w:t>
      </w:r>
    </w:p>
    <w:p w14:paraId="4061E43A" w14:textId="77777777" w:rsidR="009F697D" w:rsidRDefault="009F697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tbl>
      <w:tblPr>
        <w:tblStyle w:val="TableNormal"/>
        <w:tblW w:w="881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939"/>
        <w:gridCol w:w="2939"/>
        <w:gridCol w:w="2939"/>
      </w:tblGrid>
      <w:tr w:rsidR="009F697D" w:rsidRPr="00D63FD0" w14:paraId="1C42A6D5" w14:textId="77777777">
        <w:trPr>
          <w:trHeight w:val="881"/>
          <w:tblHeader/>
        </w:trPr>
        <w:tc>
          <w:tcPr>
            <w:tcW w:w="2939" w:type="dxa"/>
            <w:tcBorders>
              <w:top w:val="single" w:sz="8" w:space="0" w:color="FFFFFF"/>
              <w:left w:val="single" w:sz="8" w:space="0" w:color="FFFFFF"/>
              <w:bottom w:val="single" w:sz="24" w:space="0" w:color="FFFFFF"/>
              <w:right w:val="single" w:sz="8" w:space="0" w:color="FFFFFF"/>
            </w:tcBorders>
            <w:shd w:val="clear" w:color="auto" w:fill="70AD47"/>
            <w:tcMar>
              <w:top w:w="80" w:type="dxa"/>
              <w:left w:w="80" w:type="dxa"/>
              <w:bottom w:w="80" w:type="dxa"/>
              <w:right w:w="80" w:type="dxa"/>
            </w:tcMar>
          </w:tcPr>
          <w:p w14:paraId="067D67D4" w14:textId="77777777" w:rsidR="009F697D" w:rsidRPr="00D63FD0" w:rsidRDefault="008A2F48">
            <w:pPr>
              <w:pStyle w:val="Cuerpo"/>
              <w:tabs>
                <w:tab w:val="left" w:pos="708"/>
                <w:tab w:val="left" w:pos="1416"/>
                <w:tab w:val="left" w:pos="2124"/>
                <w:tab w:val="left" w:pos="2832"/>
              </w:tabs>
              <w:suppressAutoHyphens/>
              <w:outlineLvl w:val="0"/>
              <w:rPr>
                <w:rFonts w:ascii="Arial" w:hAnsi="Arial" w:cs="Arial"/>
                <w:sz w:val="24"/>
                <w:szCs w:val="24"/>
              </w:rPr>
            </w:pPr>
            <w:r w:rsidRPr="00D63FD0">
              <w:rPr>
                <w:rStyle w:val="Ninguno"/>
                <w:rFonts w:ascii="Arial" w:hAnsi="Arial" w:cs="Arial"/>
                <w:color w:val="FFFFFF"/>
                <w:sz w:val="24"/>
                <w:szCs w:val="24"/>
                <w:u w:color="FFFFFF"/>
                <w14:textOutline w14:w="12700" w14:cap="flat" w14:cmpd="sng" w14:algn="ctr">
                  <w14:noFill/>
                  <w14:prstDash w14:val="solid"/>
                  <w14:miter w14:lim="400000"/>
                </w14:textOutline>
              </w:rPr>
              <w:t xml:space="preserve">Son sentencias de unificación </w:t>
            </w:r>
          </w:p>
        </w:tc>
        <w:tc>
          <w:tcPr>
            <w:tcW w:w="2939" w:type="dxa"/>
            <w:tcBorders>
              <w:top w:val="single" w:sz="8" w:space="0" w:color="FFFFFF"/>
              <w:left w:val="single" w:sz="8" w:space="0" w:color="FFFFFF"/>
              <w:bottom w:val="single" w:sz="24" w:space="0" w:color="FFFFFF"/>
              <w:right w:val="single" w:sz="8" w:space="0" w:color="FFFFFF"/>
            </w:tcBorders>
            <w:shd w:val="clear" w:color="auto" w:fill="70AD47"/>
            <w:tcMar>
              <w:top w:w="80" w:type="dxa"/>
              <w:left w:w="80" w:type="dxa"/>
              <w:bottom w:w="80" w:type="dxa"/>
              <w:right w:w="80" w:type="dxa"/>
            </w:tcMar>
          </w:tcPr>
          <w:p w14:paraId="1404F2EE" w14:textId="77777777" w:rsidR="009F697D" w:rsidRPr="00D63FD0" w:rsidRDefault="008A2F48">
            <w:pPr>
              <w:pStyle w:val="Cuerpo"/>
              <w:tabs>
                <w:tab w:val="left" w:pos="708"/>
                <w:tab w:val="left" w:pos="1416"/>
                <w:tab w:val="left" w:pos="2124"/>
                <w:tab w:val="left" w:pos="2832"/>
              </w:tabs>
              <w:suppressAutoHyphens/>
              <w:outlineLvl w:val="0"/>
              <w:rPr>
                <w:rStyle w:val="Ninguno"/>
                <w:rFonts w:ascii="Arial" w:eastAsia="Calibri" w:hAnsi="Arial" w:cs="Arial"/>
                <w:color w:val="FFFFFF"/>
                <w:sz w:val="24"/>
                <w:szCs w:val="24"/>
                <w:u w:color="FFFFFF"/>
                <w14:textOutline w14:w="12700" w14:cap="flat" w14:cmpd="sng" w14:algn="ctr">
                  <w14:noFill/>
                  <w14:prstDash w14:val="solid"/>
                  <w14:miter w14:lim="400000"/>
                </w14:textOutline>
              </w:rPr>
            </w:pPr>
            <w:r w:rsidRPr="00D63FD0">
              <w:rPr>
                <w:rStyle w:val="Ninguno"/>
                <w:rFonts w:ascii="Arial" w:hAnsi="Arial" w:cs="Arial"/>
                <w:color w:val="FFFFFF"/>
                <w:sz w:val="24"/>
                <w:szCs w:val="24"/>
                <w:u w:color="FFFFFF"/>
                <w14:textOutline w14:w="12700" w14:cap="flat" w14:cmpd="sng" w14:algn="ctr">
                  <w14:noFill/>
                  <w14:prstDash w14:val="solid"/>
                  <w14:miter w14:lim="400000"/>
                </w14:textOutline>
              </w:rPr>
              <w:t>Ley 1437 de 2011</w:t>
            </w:r>
          </w:p>
          <w:p w14:paraId="1CE84FCE" w14:textId="77777777" w:rsidR="009F697D" w:rsidRPr="00D63FD0" w:rsidRDefault="008A2F48">
            <w:pPr>
              <w:pStyle w:val="Cuerpo"/>
              <w:tabs>
                <w:tab w:val="left" w:pos="708"/>
                <w:tab w:val="left" w:pos="1416"/>
                <w:tab w:val="left" w:pos="2124"/>
                <w:tab w:val="left" w:pos="2832"/>
              </w:tabs>
              <w:suppressAutoHyphens/>
              <w:outlineLvl w:val="0"/>
              <w:rPr>
                <w:rFonts w:ascii="Arial" w:hAnsi="Arial" w:cs="Arial"/>
                <w:sz w:val="24"/>
                <w:szCs w:val="24"/>
              </w:rPr>
            </w:pPr>
            <w:r w:rsidRPr="00D63FD0">
              <w:rPr>
                <w:rStyle w:val="Ninguno"/>
                <w:rFonts w:ascii="Arial" w:hAnsi="Arial" w:cs="Arial"/>
                <w:color w:val="FFFFFF"/>
                <w:sz w:val="24"/>
                <w:szCs w:val="24"/>
                <w:u w:color="FFFFFF"/>
                <w14:textOutline w14:w="12700" w14:cap="flat" w14:cmpd="sng" w14:algn="ctr">
                  <w14:noFill/>
                  <w14:prstDash w14:val="solid"/>
                  <w14:miter w14:lim="400000"/>
                </w14:textOutline>
              </w:rPr>
              <w:t>(Texto original)</w:t>
            </w:r>
          </w:p>
        </w:tc>
        <w:tc>
          <w:tcPr>
            <w:tcW w:w="2939" w:type="dxa"/>
            <w:tcBorders>
              <w:top w:val="single" w:sz="8" w:space="0" w:color="FFFFFF"/>
              <w:left w:val="single" w:sz="8" w:space="0" w:color="FFFFFF"/>
              <w:bottom w:val="single" w:sz="24" w:space="0" w:color="FFFFFF"/>
              <w:right w:val="single" w:sz="8" w:space="0" w:color="FFFFFF"/>
            </w:tcBorders>
            <w:shd w:val="clear" w:color="auto" w:fill="70AD47"/>
            <w:tcMar>
              <w:top w:w="80" w:type="dxa"/>
              <w:left w:w="80" w:type="dxa"/>
              <w:bottom w:w="80" w:type="dxa"/>
              <w:right w:w="80" w:type="dxa"/>
            </w:tcMar>
          </w:tcPr>
          <w:p w14:paraId="174A6648" w14:textId="77777777" w:rsidR="009F697D" w:rsidRPr="00D63FD0" w:rsidRDefault="008A2F48">
            <w:pPr>
              <w:pStyle w:val="Cuerpo"/>
              <w:tabs>
                <w:tab w:val="left" w:pos="708"/>
                <w:tab w:val="left" w:pos="1416"/>
                <w:tab w:val="left" w:pos="2124"/>
                <w:tab w:val="left" w:pos="2832"/>
              </w:tabs>
              <w:suppressAutoHyphens/>
              <w:outlineLvl w:val="0"/>
              <w:rPr>
                <w:rFonts w:ascii="Arial" w:hAnsi="Arial" w:cs="Arial"/>
                <w:sz w:val="24"/>
                <w:szCs w:val="24"/>
              </w:rPr>
            </w:pPr>
            <w:r w:rsidRPr="00D63FD0">
              <w:rPr>
                <w:rStyle w:val="Ninguno"/>
                <w:rFonts w:ascii="Arial" w:hAnsi="Arial" w:cs="Arial"/>
                <w:color w:val="FFFFFF"/>
                <w:sz w:val="24"/>
                <w:szCs w:val="24"/>
                <w:u w:color="FFFFFF"/>
                <w14:textOutline w14:w="12700" w14:cap="flat" w14:cmpd="sng" w14:algn="ctr">
                  <w14:noFill/>
                  <w14:prstDash w14:val="solid"/>
                  <w14:miter w14:lim="400000"/>
                </w14:textOutline>
              </w:rPr>
              <w:t>Ley 2080 de 2021</w:t>
            </w:r>
          </w:p>
        </w:tc>
      </w:tr>
      <w:tr w:rsidR="009F697D" w:rsidRPr="00D63FD0" w14:paraId="5427DEE6" w14:textId="77777777" w:rsidTr="00D63FD0">
        <w:tblPrEx>
          <w:shd w:val="clear" w:color="auto" w:fill="CDD4E9"/>
        </w:tblPrEx>
        <w:trPr>
          <w:trHeight w:val="626"/>
        </w:trPr>
        <w:tc>
          <w:tcPr>
            <w:tcW w:w="2939" w:type="dxa"/>
            <w:tcBorders>
              <w:top w:val="single" w:sz="24" w:space="0" w:color="FFFFFF"/>
              <w:left w:val="single" w:sz="8" w:space="0" w:color="FFFFFF"/>
              <w:bottom w:val="single" w:sz="8" w:space="0" w:color="FFFFFF"/>
              <w:right w:val="single" w:sz="8" w:space="0" w:color="FFFFFF"/>
            </w:tcBorders>
            <w:shd w:val="clear" w:color="auto" w:fill="70AD47"/>
            <w:tcMar>
              <w:top w:w="80" w:type="dxa"/>
              <w:left w:w="80" w:type="dxa"/>
              <w:bottom w:w="80" w:type="dxa"/>
              <w:right w:w="80" w:type="dxa"/>
            </w:tcMar>
          </w:tcPr>
          <w:p w14:paraId="44070894" w14:textId="77777777" w:rsidR="009F697D" w:rsidRPr="00D63FD0" w:rsidRDefault="008A2F48">
            <w:pPr>
              <w:pStyle w:val="Cuerpo"/>
              <w:tabs>
                <w:tab w:val="left" w:pos="708"/>
                <w:tab w:val="left" w:pos="1416"/>
                <w:tab w:val="left" w:pos="2124"/>
                <w:tab w:val="left" w:pos="2832"/>
              </w:tabs>
              <w:suppressAutoHyphens/>
              <w:outlineLvl w:val="0"/>
              <w:rPr>
                <w:rFonts w:ascii="Arial" w:hAnsi="Arial" w:cs="Arial"/>
                <w:sz w:val="24"/>
                <w:szCs w:val="24"/>
              </w:rPr>
            </w:pPr>
            <w:r w:rsidRPr="00D63FD0">
              <w:rPr>
                <w:rStyle w:val="Ninguno"/>
                <w:rFonts w:ascii="Arial" w:hAnsi="Arial" w:cs="Arial"/>
                <w:color w:val="FFFFFF"/>
                <w:sz w:val="24"/>
                <w:szCs w:val="24"/>
                <w:u w:color="FFFFFF"/>
                <w14:textOutline w14:w="12700" w14:cap="flat" w14:cmpd="sng" w14:algn="ctr">
                  <w14:noFill/>
                  <w14:prstDash w14:val="solid"/>
                  <w14:miter w14:lim="400000"/>
                </w14:textOutline>
              </w:rPr>
              <w:t xml:space="preserve">Las que se dictan por importancia jurídica </w:t>
            </w:r>
          </w:p>
        </w:tc>
        <w:tc>
          <w:tcPr>
            <w:tcW w:w="2939" w:type="dxa"/>
            <w:tcBorders>
              <w:top w:val="single" w:sz="24" w:space="0" w:color="FFFFFF"/>
              <w:left w:val="single" w:sz="8" w:space="0" w:color="FFFFFF"/>
              <w:bottom w:val="single" w:sz="8" w:space="0" w:color="FFFFFF"/>
              <w:right w:val="single" w:sz="8" w:space="0" w:color="FFFFFF"/>
            </w:tcBorders>
            <w:shd w:val="clear" w:color="auto" w:fill="D3E2CD"/>
            <w:tcMar>
              <w:top w:w="80" w:type="dxa"/>
              <w:left w:w="80" w:type="dxa"/>
              <w:bottom w:w="80" w:type="dxa"/>
              <w:right w:w="80" w:type="dxa"/>
            </w:tcMar>
          </w:tcPr>
          <w:p w14:paraId="5CE0EF61" w14:textId="4336E0BF" w:rsidR="009F697D" w:rsidRPr="00D63FD0" w:rsidRDefault="00641D69">
            <w:pPr>
              <w:rPr>
                <w:rFonts w:ascii="Arial" w:hAnsi="Arial" w:cs="Arial"/>
              </w:rPr>
            </w:pPr>
            <w:r w:rsidRPr="00D63FD0">
              <w:rPr>
                <w:rFonts w:ascii="Arial" w:hAnsi="Arial" w:cs="Arial"/>
              </w:rPr>
              <w:t>X</w:t>
            </w:r>
          </w:p>
        </w:tc>
        <w:tc>
          <w:tcPr>
            <w:tcW w:w="2939" w:type="dxa"/>
            <w:tcBorders>
              <w:top w:val="single" w:sz="24" w:space="0" w:color="FFFFFF"/>
              <w:left w:val="single" w:sz="8" w:space="0" w:color="FFFFFF"/>
              <w:bottom w:val="single" w:sz="8" w:space="0" w:color="FFFFFF"/>
              <w:right w:val="single" w:sz="8" w:space="0" w:color="FFFFFF"/>
            </w:tcBorders>
            <w:shd w:val="clear" w:color="auto" w:fill="D3E2CD"/>
            <w:tcMar>
              <w:top w:w="80" w:type="dxa"/>
              <w:left w:w="80" w:type="dxa"/>
              <w:bottom w:w="80" w:type="dxa"/>
              <w:right w:w="80" w:type="dxa"/>
            </w:tcMar>
          </w:tcPr>
          <w:p w14:paraId="3C4C3F5E" w14:textId="2B58CCDD" w:rsidR="009F697D" w:rsidRPr="00D63FD0" w:rsidRDefault="00641D69">
            <w:pPr>
              <w:rPr>
                <w:rFonts w:ascii="Arial" w:hAnsi="Arial" w:cs="Arial"/>
              </w:rPr>
            </w:pPr>
            <w:r w:rsidRPr="00D63FD0">
              <w:rPr>
                <w:rFonts w:ascii="Arial" w:hAnsi="Arial" w:cs="Arial"/>
              </w:rPr>
              <w:t>X</w:t>
            </w:r>
          </w:p>
        </w:tc>
      </w:tr>
      <w:tr w:rsidR="009F697D" w:rsidRPr="00D63FD0" w14:paraId="0EC11DEC" w14:textId="77777777" w:rsidTr="00D63FD0">
        <w:tblPrEx>
          <w:shd w:val="clear" w:color="auto" w:fill="CDD4E9"/>
        </w:tblPrEx>
        <w:trPr>
          <w:trHeight w:val="824"/>
        </w:trPr>
        <w:tc>
          <w:tcPr>
            <w:tcW w:w="2939" w:type="dxa"/>
            <w:tcBorders>
              <w:top w:val="single" w:sz="8" w:space="0" w:color="FFFFFF"/>
              <w:left w:val="single" w:sz="8" w:space="0" w:color="FFFFFF"/>
              <w:bottom w:val="single" w:sz="8" w:space="0" w:color="FFFFFF"/>
              <w:right w:val="single" w:sz="8" w:space="0" w:color="FFFFFF"/>
            </w:tcBorders>
            <w:shd w:val="clear" w:color="auto" w:fill="70AD47"/>
            <w:tcMar>
              <w:top w:w="80" w:type="dxa"/>
              <w:left w:w="80" w:type="dxa"/>
              <w:bottom w:w="80" w:type="dxa"/>
              <w:right w:w="80" w:type="dxa"/>
            </w:tcMar>
          </w:tcPr>
          <w:p w14:paraId="189F1106" w14:textId="77777777" w:rsidR="009F697D" w:rsidRPr="00D63FD0" w:rsidRDefault="008A2F48">
            <w:pPr>
              <w:pStyle w:val="Cuerpo"/>
              <w:tabs>
                <w:tab w:val="left" w:pos="708"/>
                <w:tab w:val="left" w:pos="1416"/>
                <w:tab w:val="left" w:pos="2124"/>
                <w:tab w:val="left" w:pos="2832"/>
              </w:tabs>
              <w:suppressAutoHyphens/>
              <w:outlineLvl w:val="0"/>
              <w:rPr>
                <w:rFonts w:ascii="Arial" w:hAnsi="Arial" w:cs="Arial"/>
                <w:sz w:val="24"/>
                <w:szCs w:val="24"/>
              </w:rPr>
            </w:pPr>
            <w:r w:rsidRPr="00D63FD0">
              <w:rPr>
                <w:rStyle w:val="Ninguno"/>
                <w:rFonts w:ascii="Arial" w:hAnsi="Arial" w:cs="Arial"/>
                <w:color w:val="FFFFFF"/>
                <w:sz w:val="24"/>
                <w:szCs w:val="24"/>
                <w:u w:color="FFFFFF"/>
                <w14:textOutline w14:w="12700" w14:cap="flat" w14:cmpd="sng" w14:algn="ctr">
                  <w14:noFill/>
                  <w14:prstDash w14:val="solid"/>
                  <w14:miter w14:lim="400000"/>
                </w14:textOutline>
              </w:rPr>
              <w:t>Las que se dictan por trascendencia económica o social</w:t>
            </w:r>
          </w:p>
        </w:tc>
        <w:tc>
          <w:tcPr>
            <w:tcW w:w="2939" w:type="dxa"/>
            <w:tcBorders>
              <w:top w:val="single" w:sz="8" w:space="0" w:color="FFFFFF"/>
              <w:left w:val="single" w:sz="8" w:space="0" w:color="FFFFFF"/>
              <w:bottom w:val="single" w:sz="8" w:space="0" w:color="FFFFFF"/>
              <w:right w:val="single" w:sz="8" w:space="0" w:color="FFFFFF"/>
            </w:tcBorders>
            <w:shd w:val="clear" w:color="auto" w:fill="EAF1E7"/>
            <w:tcMar>
              <w:top w:w="80" w:type="dxa"/>
              <w:left w:w="80" w:type="dxa"/>
              <w:bottom w:w="80" w:type="dxa"/>
              <w:right w:w="80" w:type="dxa"/>
            </w:tcMar>
          </w:tcPr>
          <w:p w14:paraId="295CC323" w14:textId="08B80D16" w:rsidR="009F697D" w:rsidRPr="00D63FD0" w:rsidRDefault="00641D69">
            <w:pPr>
              <w:rPr>
                <w:rFonts w:ascii="Arial" w:hAnsi="Arial" w:cs="Arial"/>
              </w:rPr>
            </w:pPr>
            <w:r w:rsidRPr="00D63FD0">
              <w:rPr>
                <w:rFonts w:ascii="Arial" w:hAnsi="Arial" w:cs="Arial"/>
              </w:rPr>
              <w:t>X</w:t>
            </w:r>
          </w:p>
        </w:tc>
        <w:tc>
          <w:tcPr>
            <w:tcW w:w="2939" w:type="dxa"/>
            <w:tcBorders>
              <w:top w:val="single" w:sz="8" w:space="0" w:color="FFFFFF"/>
              <w:left w:val="single" w:sz="8" w:space="0" w:color="FFFFFF"/>
              <w:bottom w:val="single" w:sz="8" w:space="0" w:color="FFFFFF"/>
              <w:right w:val="single" w:sz="8" w:space="0" w:color="FFFFFF"/>
            </w:tcBorders>
            <w:shd w:val="clear" w:color="auto" w:fill="EAF1E7"/>
            <w:tcMar>
              <w:top w:w="80" w:type="dxa"/>
              <w:left w:w="80" w:type="dxa"/>
              <w:bottom w:w="80" w:type="dxa"/>
              <w:right w:w="80" w:type="dxa"/>
            </w:tcMar>
          </w:tcPr>
          <w:p w14:paraId="66B6D2C8" w14:textId="17DAAD75" w:rsidR="009F697D" w:rsidRPr="00D63FD0" w:rsidRDefault="00641D69">
            <w:pPr>
              <w:rPr>
                <w:rFonts w:ascii="Arial" w:hAnsi="Arial" w:cs="Arial"/>
              </w:rPr>
            </w:pPr>
            <w:r w:rsidRPr="00D63FD0">
              <w:rPr>
                <w:rFonts w:ascii="Arial" w:hAnsi="Arial" w:cs="Arial"/>
              </w:rPr>
              <w:t>X</w:t>
            </w:r>
          </w:p>
        </w:tc>
      </w:tr>
      <w:tr w:rsidR="009F697D" w:rsidRPr="00D63FD0" w14:paraId="13C3A765" w14:textId="77777777" w:rsidTr="00D63FD0">
        <w:tblPrEx>
          <w:shd w:val="clear" w:color="auto" w:fill="CDD4E9"/>
        </w:tblPrEx>
        <w:trPr>
          <w:trHeight w:val="812"/>
        </w:trPr>
        <w:tc>
          <w:tcPr>
            <w:tcW w:w="2939" w:type="dxa"/>
            <w:tcBorders>
              <w:top w:val="single" w:sz="8" w:space="0" w:color="FFFFFF"/>
              <w:left w:val="single" w:sz="8" w:space="0" w:color="FFFFFF"/>
              <w:bottom w:val="single" w:sz="8" w:space="0" w:color="FFFFFF"/>
              <w:right w:val="single" w:sz="8" w:space="0" w:color="FFFFFF"/>
            </w:tcBorders>
            <w:shd w:val="clear" w:color="auto" w:fill="70AD47"/>
            <w:tcMar>
              <w:top w:w="80" w:type="dxa"/>
              <w:left w:w="80" w:type="dxa"/>
              <w:bottom w:w="80" w:type="dxa"/>
              <w:right w:w="80" w:type="dxa"/>
            </w:tcMar>
          </w:tcPr>
          <w:p w14:paraId="21A5A35B" w14:textId="77777777" w:rsidR="009F697D" w:rsidRPr="00D63FD0" w:rsidRDefault="008A2F48">
            <w:pPr>
              <w:pStyle w:val="Cuerpo"/>
              <w:tabs>
                <w:tab w:val="left" w:pos="708"/>
                <w:tab w:val="left" w:pos="1416"/>
                <w:tab w:val="left" w:pos="2124"/>
                <w:tab w:val="left" w:pos="2832"/>
              </w:tabs>
              <w:suppressAutoHyphens/>
              <w:outlineLvl w:val="0"/>
              <w:rPr>
                <w:rFonts w:ascii="Arial" w:hAnsi="Arial" w:cs="Arial"/>
                <w:sz w:val="24"/>
                <w:szCs w:val="24"/>
              </w:rPr>
            </w:pPr>
            <w:r w:rsidRPr="00D63FD0">
              <w:rPr>
                <w:rStyle w:val="Ninguno"/>
                <w:rFonts w:ascii="Arial" w:hAnsi="Arial" w:cs="Arial"/>
                <w:color w:val="FFFFFF"/>
                <w:sz w:val="24"/>
                <w:szCs w:val="24"/>
                <w:u w:color="FFFFFF"/>
                <w14:textOutline w14:w="12700" w14:cap="flat" w14:cmpd="sng" w14:algn="ctr">
                  <w14:noFill/>
                  <w14:prstDash w14:val="solid"/>
                  <w14:miter w14:lim="400000"/>
                </w14:textOutline>
              </w:rPr>
              <w:t xml:space="preserve">Las que se dictan por la necesidad de sentar o unificar jurisprudencia </w:t>
            </w:r>
          </w:p>
        </w:tc>
        <w:tc>
          <w:tcPr>
            <w:tcW w:w="2939" w:type="dxa"/>
            <w:tcBorders>
              <w:top w:val="single" w:sz="8" w:space="0" w:color="FFFFFF"/>
              <w:left w:val="single" w:sz="8" w:space="0" w:color="FFFFFF"/>
              <w:bottom w:val="single" w:sz="8" w:space="0" w:color="FFFFFF"/>
              <w:right w:val="single" w:sz="8" w:space="0" w:color="FFFFFF"/>
            </w:tcBorders>
            <w:shd w:val="clear" w:color="auto" w:fill="D3E2CD"/>
            <w:tcMar>
              <w:top w:w="80" w:type="dxa"/>
              <w:left w:w="80" w:type="dxa"/>
              <w:bottom w:w="80" w:type="dxa"/>
              <w:right w:w="80" w:type="dxa"/>
            </w:tcMar>
          </w:tcPr>
          <w:p w14:paraId="6A788B82" w14:textId="3B3D1847" w:rsidR="009F697D" w:rsidRPr="00D63FD0" w:rsidRDefault="00641D69">
            <w:pPr>
              <w:rPr>
                <w:rFonts w:ascii="Arial" w:hAnsi="Arial" w:cs="Arial"/>
              </w:rPr>
            </w:pPr>
            <w:r w:rsidRPr="00D63FD0">
              <w:rPr>
                <w:rFonts w:ascii="Arial" w:hAnsi="Arial" w:cs="Arial"/>
              </w:rPr>
              <w:t>X</w:t>
            </w:r>
          </w:p>
        </w:tc>
        <w:tc>
          <w:tcPr>
            <w:tcW w:w="2939" w:type="dxa"/>
            <w:tcBorders>
              <w:top w:val="single" w:sz="8" w:space="0" w:color="FFFFFF"/>
              <w:left w:val="single" w:sz="8" w:space="0" w:color="FFFFFF"/>
              <w:bottom w:val="single" w:sz="8" w:space="0" w:color="FFFFFF"/>
              <w:right w:val="single" w:sz="8" w:space="0" w:color="FFFFFF"/>
            </w:tcBorders>
            <w:shd w:val="clear" w:color="auto" w:fill="D3E2CD"/>
            <w:tcMar>
              <w:top w:w="80" w:type="dxa"/>
              <w:left w:w="80" w:type="dxa"/>
              <w:bottom w:w="80" w:type="dxa"/>
              <w:right w:w="80" w:type="dxa"/>
            </w:tcMar>
          </w:tcPr>
          <w:p w14:paraId="2D8CF5EF" w14:textId="31D92D2B" w:rsidR="009F697D" w:rsidRPr="00D63FD0" w:rsidRDefault="00641D69">
            <w:pPr>
              <w:rPr>
                <w:rFonts w:ascii="Arial" w:hAnsi="Arial" w:cs="Arial"/>
              </w:rPr>
            </w:pPr>
            <w:r w:rsidRPr="00D63FD0">
              <w:rPr>
                <w:rFonts w:ascii="Arial" w:hAnsi="Arial" w:cs="Arial"/>
              </w:rPr>
              <w:t>X</w:t>
            </w:r>
          </w:p>
        </w:tc>
      </w:tr>
      <w:tr w:rsidR="009F697D" w:rsidRPr="00D63FD0" w14:paraId="3D94E674" w14:textId="77777777" w:rsidTr="00D63FD0">
        <w:tblPrEx>
          <w:shd w:val="clear" w:color="auto" w:fill="CDD4E9"/>
        </w:tblPrEx>
        <w:trPr>
          <w:trHeight w:val="778"/>
        </w:trPr>
        <w:tc>
          <w:tcPr>
            <w:tcW w:w="2939" w:type="dxa"/>
            <w:tcBorders>
              <w:top w:val="single" w:sz="8" w:space="0" w:color="FFFFFF"/>
              <w:left w:val="single" w:sz="8" w:space="0" w:color="FFFFFF"/>
              <w:bottom w:val="single" w:sz="8" w:space="0" w:color="FFFFFF"/>
              <w:right w:val="single" w:sz="8" w:space="0" w:color="FFFFFF"/>
            </w:tcBorders>
            <w:shd w:val="clear" w:color="auto" w:fill="70AD47"/>
            <w:tcMar>
              <w:top w:w="80" w:type="dxa"/>
              <w:left w:w="80" w:type="dxa"/>
              <w:bottom w:w="80" w:type="dxa"/>
              <w:right w:w="80" w:type="dxa"/>
            </w:tcMar>
          </w:tcPr>
          <w:p w14:paraId="53F991CD" w14:textId="77777777" w:rsidR="009F697D" w:rsidRPr="00D63FD0" w:rsidRDefault="008A2F48">
            <w:pPr>
              <w:pStyle w:val="Cuerpo"/>
              <w:tabs>
                <w:tab w:val="left" w:pos="708"/>
                <w:tab w:val="left" w:pos="1416"/>
                <w:tab w:val="left" w:pos="2124"/>
                <w:tab w:val="left" w:pos="2832"/>
              </w:tabs>
              <w:suppressAutoHyphens/>
              <w:outlineLvl w:val="0"/>
              <w:rPr>
                <w:rFonts w:ascii="Arial" w:hAnsi="Arial" w:cs="Arial"/>
                <w:sz w:val="24"/>
                <w:szCs w:val="24"/>
              </w:rPr>
            </w:pPr>
            <w:r w:rsidRPr="00D63FD0">
              <w:rPr>
                <w:rStyle w:val="Ninguno"/>
                <w:rFonts w:ascii="Arial" w:hAnsi="Arial" w:cs="Arial"/>
                <w:color w:val="FFFFFF"/>
                <w:sz w:val="24"/>
                <w:szCs w:val="24"/>
                <w:u w:color="FFFFFF"/>
                <w14:textOutline w14:w="12700" w14:cap="flat" w14:cmpd="sng" w14:algn="ctr">
                  <w14:noFill/>
                  <w14:prstDash w14:val="solid"/>
                  <w14:miter w14:lim="400000"/>
                </w14:textOutline>
              </w:rPr>
              <w:t xml:space="preserve">Las que se dictan para precisar el alcance de la jurisprudencia </w:t>
            </w:r>
          </w:p>
        </w:tc>
        <w:tc>
          <w:tcPr>
            <w:tcW w:w="2939" w:type="dxa"/>
            <w:tcBorders>
              <w:top w:val="single" w:sz="8" w:space="0" w:color="FFFFFF"/>
              <w:left w:val="single" w:sz="8" w:space="0" w:color="FFFFFF"/>
              <w:bottom w:val="single" w:sz="8" w:space="0" w:color="FFFFFF"/>
              <w:right w:val="single" w:sz="8" w:space="0" w:color="FFFFFF"/>
            </w:tcBorders>
            <w:shd w:val="clear" w:color="auto" w:fill="EAF1E7"/>
            <w:tcMar>
              <w:top w:w="80" w:type="dxa"/>
              <w:left w:w="80" w:type="dxa"/>
              <w:bottom w:w="80" w:type="dxa"/>
              <w:right w:w="80" w:type="dxa"/>
            </w:tcMar>
          </w:tcPr>
          <w:p w14:paraId="285B4396" w14:textId="77777777" w:rsidR="009F697D" w:rsidRPr="00D63FD0" w:rsidRDefault="009F697D">
            <w:pPr>
              <w:rPr>
                <w:rFonts w:ascii="Arial" w:hAnsi="Arial" w:cs="Arial"/>
              </w:rPr>
            </w:pPr>
          </w:p>
        </w:tc>
        <w:tc>
          <w:tcPr>
            <w:tcW w:w="2939" w:type="dxa"/>
            <w:tcBorders>
              <w:top w:val="single" w:sz="8" w:space="0" w:color="FFFFFF"/>
              <w:left w:val="single" w:sz="8" w:space="0" w:color="FFFFFF"/>
              <w:bottom w:val="single" w:sz="8" w:space="0" w:color="FFFFFF"/>
              <w:right w:val="single" w:sz="8" w:space="0" w:color="FFFFFF"/>
            </w:tcBorders>
            <w:shd w:val="clear" w:color="auto" w:fill="EAF1E7"/>
            <w:tcMar>
              <w:top w:w="80" w:type="dxa"/>
              <w:left w:w="80" w:type="dxa"/>
              <w:bottom w:w="80" w:type="dxa"/>
              <w:right w:w="80" w:type="dxa"/>
            </w:tcMar>
          </w:tcPr>
          <w:p w14:paraId="503C8A5D" w14:textId="73A68822" w:rsidR="009F697D" w:rsidRPr="00D63FD0" w:rsidRDefault="00641D69">
            <w:pPr>
              <w:rPr>
                <w:rFonts w:ascii="Arial" w:hAnsi="Arial" w:cs="Arial"/>
              </w:rPr>
            </w:pPr>
            <w:r w:rsidRPr="00D63FD0">
              <w:rPr>
                <w:rFonts w:ascii="Arial" w:hAnsi="Arial" w:cs="Arial"/>
              </w:rPr>
              <w:t>X</w:t>
            </w:r>
          </w:p>
        </w:tc>
      </w:tr>
      <w:tr w:rsidR="009F697D" w:rsidRPr="00D63FD0" w14:paraId="4C5BFFDD" w14:textId="77777777" w:rsidTr="00D63FD0">
        <w:tblPrEx>
          <w:shd w:val="clear" w:color="auto" w:fill="CDD4E9"/>
        </w:tblPrEx>
        <w:trPr>
          <w:trHeight w:val="1473"/>
        </w:trPr>
        <w:tc>
          <w:tcPr>
            <w:tcW w:w="2939" w:type="dxa"/>
            <w:tcBorders>
              <w:top w:val="single" w:sz="8" w:space="0" w:color="FFFFFF"/>
              <w:left w:val="single" w:sz="8" w:space="0" w:color="FFFFFF"/>
              <w:bottom w:val="single" w:sz="8" w:space="0" w:color="FFFFFF"/>
              <w:right w:val="single" w:sz="8" w:space="0" w:color="FFFFFF"/>
            </w:tcBorders>
            <w:shd w:val="clear" w:color="auto" w:fill="70AD47"/>
            <w:tcMar>
              <w:top w:w="80" w:type="dxa"/>
              <w:left w:w="80" w:type="dxa"/>
              <w:bottom w:w="80" w:type="dxa"/>
              <w:right w:w="80" w:type="dxa"/>
            </w:tcMar>
          </w:tcPr>
          <w:p w14:paraId="1459D3B9" w14:textId="77777777" w:rsidR="009F697D" w:rsidRPr="00D63FD0" w:rsidRDefault="008A2F48">
            <w:pPr>
              <w:pStyle w:val="Cuerpo"/>
              <w:tabs>
                <w:tab w:val="left" w:pos="708"/>
                <w:tab w:val="left" w:pos="1416"/>
                <w:tab w:val="left" w:pos="2124"/>
                <w:tab w:val="left" w:pos="2832"/>
              </w:tabs>
              <w:suppressAutoHyphens/>
              <w:outlineLvl w:val="0"/>
              <w:rPr>
                <w:rFonts w:ascii="Arial" w:hAnsi="Arial" w:cs="Arial"/>
                <w:sz w:val="24"/>
                <w:szCs w:val="24"/>
              </w:rPr>
            </w:pPr>
            <w:r w:rsidRPr="00D63FD0">
              <w:rPr>
                <w:rStyle w:val="Ninguno"/>
                <w:rFonts w:ascii="Arial" w:hAnsi="Arial" w:cs="Arial"/>
                <w:color w:val="FFFFFF"/>
                <w:sz w:val="24"/>
                <w:szCs w:val="24"/>
                <w:u w:color="FFFFFF"/>
                <w14:textOutline w14:w="12700" w14:cap="flat" w14:cmpd="sng" w14:algn="ctr">
                  <w14:noFill/>
                  <w14:prstDash w14:val="solid"/>
                  <w14:miter w14:lim="400000"/>
                </w14:textOutline>
              </w:rPr>
              <w:t xml:space="preserve">Las que se dictan para resolver las divergencias en la aplicación e interpretación de la jurisprudencia </w:t>
            </w:r>
          </w:p>
        </w:tc>
        <w:tc>
          <w:tcPr>
            <w:tcW w:w="2939" w:type="dxa"/>
            <w:tcBorders>
              <w:top w:val="single" w:sz="8" w:space="0" w:color="FFFFFF"/>
              <w:left w:val="single" w:sz="8" w:space="0" w:color="FFFFFF"/>
              <w:bottom w:val="single" w:sz="8" w:space="0" w:color="FFFFFF"/>
              <w:right w:val="single" w:sz="8" w:space="0" w:color="FFFFFF"/>
            </w:tcBorders>
            <w:shd w:val="clear" w:color="auto" w:fill="D3E2CD"/>
            <w:tcMar>
              <w:top w:w="80" w:type="dxa"/>
              <w:left w:w="80" w:type="dxa"/>
              <w:bottom w:w="80" w:type="dxa"/>
              <w:right w:w="80" w:type="dxa"/>
            </w:tcMar>
          </w:tcPr>
          <w:p w14:paraId="551C230B" w14:textId="77777777" w:rsidR="009F697D" w:rsidRPr="00D63FD0" w:rsidRDefault="009F697D">
            <w:pPr>
              <w:rPr>
                <w:rFonts w:ascii="Arial" w:hAnsi="Arial" w:cs="Arial"/>
              </w:rPr>
            </w:pPr>
          </w:p>
        </w:tc>
        <w:tc>
          <w:tcPr>
            <w:tcW w:w="2939" w:type="dxa"/>
            <w:tcBorders>
              <w:top w:val="single" w:sz="8" w:space="0" w:color="FFFFFF"/>
              <w:left w:val="single" w:sz="8" w:space="0" w:color="FFFFFF"/>
              <w:bottom w:val="single" w:sz="8" w:space="0" w:color="FFFFFF"/>
              <w:right w:val="single" w:sz="8" w:space="0" w:color="FFFFFF"/>
            </w:tcBorders>
            <w:shd w:val="clear" w:color="auto" w:fill="D3E2CD"/>
            <w:tcMar>
              <w:top w:w="80" w:type="dxa"/>
              <w:left w:w="80" w:type="dxa"/>
              <w:bottom w:w="80" w:type="dxa"/>
              <w:right w:w="80" w:type="dxa"/>
            </w:tcMar>
          </w:tcPr>
          <w:p w14:paraId="337937BC" w14:textId="56C1856C" w:rsidR="009F697D" w:rsidRPr="00D63FD0" w:rsidRDefault="00641D69">
            <w:pPr>
              <w:rPr>
                <w:rFonts w:ascii="Arial" w:hAnsi="Arial" w:cs="Arial"/>
              </w:rPr>
            </w:pPr>
            <w:r w:rsidRPr="00D63FD0">
              <w:rPr>
                <w:rFonts w:ascii="Arial" w:hAnsi="Arial" w:cs="Arial"/>
              </w:rPr>
              <w:t>X</w:t>
            </w:r>
          </w:p>
        </w:tc>
      </w:tr>
      <w:tr w:rsidR="009F697D" w:rsidRPr="00D63FD0" w14:paraId="09180F9E" w14:textId="77777777">
        <w:tblPrEx>
          <w:shd w:val="clear" w:color="auto" w:fill="CDD4E9"/>
        </w:tblPrEx>
        <w:trPr>
          <w:trHeight w:val="1321"/>
        </w:trPr>
        <w:tc>
          <w:tcPr>
            <w:tcW w:w="2939" w:type="dxa"/>
            <w:tcBorders>
              <w:top w:val="single" w:sz="8" w:space="0" w:color="FFFFFF"/>
              <w:left w:val="single" w:sz="8" w:space="0" w:color="FFFFFF"/>
              <w:bottom w:val="single" w:sz="8" w:space="0" w:color="FFFFFF"/>
              <w:right w:val="single" w:sz="8" w:space="0" w:color="FFFFFF"/>
            </w:tcBorders>
            <w:shd w:val="clear" w:color="auto" w:fill="70AD47"/>
            <w:tcMar>
              <w:top w:w="80" w:type="dxa"/>
              <w:left w:w="80" w:type="dxa"/>
              <w:bottom w:w="80" w:type="dxa"/>
              <w:right w:w="80" w:type="dxa"/>
            </w:tcMar>
          </w:tcPr>
          <w:p w14:paraId="00738F97" w14:textId="6AFA8485" w:rsidR="009F697D" w:rsidRPr="00D63FD0" w:rsidRDefault="008A2F48">
            <w:pPr>
              <w:pStyle w:val="Cuerpo"/>
              <w:tabs>
                <w:tab w:val="left" w:pos="708"/>
                <w:tab w:val="left" w:pos="1416"/>
                <w:tab w:val="left" w:pos="2124"/>
                <w:tab w:val="left" w:pos="2832"/>
              </w:tabs>
              <w:suppressAutoHyphens/>
              <w:outlineLvl w:val="0"/>
              <w:rPr>
                <w:rFonts w:ascii="Arial" w:hAnsi="Arial" w:cs="Arial"/>
                <w:sz w:val="24"/>
                <w:szCs w:val="24"/>
              </w:rPr>
            </w:pPr>
            <w:r w:rsidRPr="00D63FD0">
              <w:rPr>
                <w:rStyle w:val="Ninguno"/>
                <w:rFonts w:ascii="Arial" w:hAnsi="Arial" w:cs="Arial"/>
                <w:color w:val="FFFFFF"/>
                <w:sz w:val="24"/>
                <w:szCs w:val="24"/>
                <w:u w:color="FFFFFF"/>
                <w14:textOutline w14:w="12700" w14:cap="flat" w14:cmpd="sng" w14:algn="ctr">
                  <w14:noFill/>
                  <w14:prstDash w14:val="solid"/>
                  <w14:miter w14:lim="400000"/>
                </w14:textOutline>
              </w:rPr>
              <w:t>Las de los recursos extraordinarios</w:t>
            </w:r>
          </w:p>
        </w:tc>
        <w:tc>
          <w:tcPr>
            <w:tcW w:w="2939" w:type="dxa"/>
            <w:tcBorders>
              <w:top w:val="single" w:sz="8" w:space="0" w:color="FFFFFF"/>
              <w:left w:val="single" w:sz="8" w:space="0" w:color="FFFFFF"/>
              <w:bottom w:val="single" w:sz="8" w:space="0" w:color="FFFFFF"/>
              <w:right w:val="single" w:sz="8" w:space="0" w:color="FFFFFF"/>
            </w:tcBorders>
            <w:shd w:val="clear" w:color="auto" w:fill="EAF1E7"/>
            <w:tcMar>
              <w:top w:w="80" w:type="dxa"/>
              <w:left w:w="80" w:type="dxa"/>
              <w:bottom w:w="80" w:type="dxa"/>
              <w:right w:w="80" w:type="dxa"/>
            </w:tcMar>
          </w:tcPr>
          <w:p w14:paraId="6C584036" w14:textId="592870DA" w:rsidR="009F697D" w:rsidRPr="00D63FD0" w:rsidRDefault="00641D69">
            <w:pPr>
              <w:rPr>
                <w:rFonts w:ascii="Arial" w:hAnsi="Arial" w:cs="Arial"/>
              </w:rPr>
            </w:pPr>
            <w:r w:rsidRPr="00D63FD0">
              <w:rPr>
                <w:rFonts w:ascii="Arial" w:hAnsi="Arial" w:cs="Arial"/>
              </w:rPr>
              <w:t>X</w:t>
            </w:r>
          </w:p>
        </w:tc>
        <w:tc>
          <w:tcPr>
            <w:tcW w:w="2939" w:type="dxa"/>
            <w:tcBorders>
              <w:top w:val="single" w:sz="8" w:space="0" w:color="FFFFFF"/>
              <w:left w:val="single" w:sz="8" w:space="0" w:color="FFFFFF"/>
              <w:bottom w:val="single" w:sz="8" w:space="0" w:color="FFFFFF"/>
              <w:right w:val="single" w:sz="8" w:space="0" w:color="FFFFFF"/>
            </w:tcBorders>
            <w:shd w:val="clear" w:color="auto" w:fill="EAF1E7"/>
            <w:tcMar>
              <w:top w:w="80" w:type="dxa"/>
              <w:left w:w="80" w:type="dxa"/>
              <w:bottom w:w="80" w:type="dxa"/>
              <w:right w:w="80" w:type="dxa"/>
            </w:tcMar>
          </w:tcPr>
          <w:p w14:paraId="10A445D7" w14:textId="7F7E3541" w:rsidR="009F697D" w:rsidRPr="00D63FD0" w:rsidRDefault="00641D69">
            <w:pPr>
              <w:rPr>
                <w:rFonts w:ascii="Arial" w:hAnsi="Arial" w:cs="Arial"/>
              </w:rPr>
            </w:pPr>
            <w:r w:rsidRPr="00D63FD0">
              <w:rPr>
                <w:rFonts w:ascii="Arial" w:hAnsi="Arial" w:cs="Arial"/>
              </w:rPr>
              <w:t>X</w:t>
            </w:r>
          </w:p>
        </w:tc>
      </w:tr>
      <w:tr w:rsidR="009F697D" w:rsidRPr="00D63FD0" w14:paraId="1C420704" w14:textId="77777777" w:rsidTr="00D63FD0">
        <w:tblPrEx>
          <w:shd w:val="clear" w:color="auto" w:fill="CDD4E9"/>
        </w:tblPrEx>
        <w:trPr>
          <w:trHeight w:val="1390"/>
        </w:trPr>
        <w:tc>
          <w:tcPr>
            <w:tcW w:w="2939" w:type="dxa"/>
            <w:tcBorders>
              <w:top w:val="single" w:sz="8" w:space="0" w:color="FFFFFF"/>
              <w:left w:val="single" w:sz="8" w:space="0" w:color="FFFFFF"/>
              <w:bottom w:val="single" w:sz="8" w:space="0" w:color="FFFFFF"/>
              <w:right w:val="single" w:sz="8" w:space="0" w:color="FFFFFF"/>
            </w:tcBorders>
            <w:shd w:val="clear" w:color="auto" w:fill="70AD47"/>
            <w:tcMar>
              <w:top w:w="80" w:type="dxa"/>
              <w:left w:w="80" w:type="dxa"/>
              <w:bottom w:w="80" w:type="dxa"/>
              <w:right w:w="80" w:type="dxa"/>
            </w:tcMar>
          </w:tcPr>
          <w:p w14:paraId="7B1BD0F3" w14:textId="77777777" w:rsidR="009F697D" w:rsidRPr="00D63FD0" w:rsidRDefault="008A2F48">
            <w:pPr>
              <w:pStyle w:val="Cuerpo"/>
              <w:tabs>
                <w:tab w:val="left" w:pos="708"/>
                <w:tab w:val="left" w:pos="1416"/>
                <w:tab w:val="left" w:pos="2124"/>
                <w:tab w:val="left" w:pos="2832"/>
              </w:tabs>
              <w:suppressAutoHyphens/>
              <w:outlineLvl w:val="0"/>
              <w:rPr>
                <w:rFonts w:ascii="Arial" w:hAnsi="Arial" w:cs="Arial"/>
                <w:sz w:val="24"/>
                <w:szCs w:val="24"/>
              </w:rPr>
            </w:pPr>
            <w:r w:rsidRPr="00D63FD0">
              <w:rPr>
                <w:rStyle w:val="Ninguno"/>
                <w:rFonts w:ascii="Arial" w:hAnsi="Arial" w:cs="Arial"/>
                <w:color w:val="FFFFFF"/>
                <w:sz w:val="24"/>
                <w:szCs w:val="24"/>
                <w:u w:color="FFFFFF"/>
                <w14:textOutline w14:w="12700" w14:cap="flat" w14:cmpd="sng" w14:algn="ctr">
                  <w14:noFill/>
                  <w14:prstDash w14:val="solid"/>
                  <w14:miter w14:lim="400000"/>
                </w14:textOutline>
              </w:rPr>
              <w:t>Las relativas al mecanismo eventual de revisión de las acciones populares y de grupo</w:t>
            </w:r>
          </w:p>
        </w:tc>
        <w:tc>
          <w:tcPr>
            <w:tcW w:w="2939" w:type="dxa"/>
            <w:tcBorders>
              <w:top w:val="single" w:sz="8" w:space="0" w:color="FFFFFF"/>
              <w:left w:val="single" w:sz="8" w:space="0" w:color="FFFFFF"/>
              <w:bottom w:val="single" w:sz="8" w:space="0" w:color="FFFFFF"/>
              <w:right w:val="single" w:sz="8" w:space="0" w:color="FFFFFF"/>
            </w:tcBorders>
            <w:shd w:val="clear" w:color="auto" w:fill="D3E2CD"/>
            <w:tcMar>
              <w:top w:w="80" w:type="dxa"/>
              <w:left w:w="80" w:type="dxa"/>
              <w:bottom w:w="80" w:type="dxa"/>
              <w:right w:w="80" w:type="dxa"/>
            </w:tcMar>
          </w:tcPr>
          <w:p w14:paraId="752BEF16" w14:textId="27CE0B8E" w:rsidR="009F697D" w:rsidRPr="00D63FD0" w:rsidRDefault="00641D69">
            <w:pPr>
              <w:rPr>
                <w:rFonts w:ascii="Arial" w:hAnsi="Arial" w:cs="Arial"/>
              </w:rPr>
            </w:pPr>
            <w:r w:rsidRPr="00D63FD0">
              <w:rPr>
                <w:rFonts w:ascii="Arial" w:hAnsi="Arial" w:cs="Arial"/>
              </w:rPr>
              <w:t>X</w:t>
            </w:r>
          </w:p>
        </w:tc>
        <w:tc>
          <w:tcPr>
            <w:tcW w:w="2939" w:type="dxa"/>
            <w:tcBorders>
              <w:top w:val="single" w:sz="8" w:space="0" w:color="FFFFFF"/>
              <w:left w:val="single" w:sz="8" w:space="0" w:color="FFFFFF"/>
              <w:bottom w:val="single" w:sz="8" w:space="0" w:color="FFFFFF"/>
              <w:right w:val="single" w:sz="8" w:space="0" w:color="FFFFFF"/>
            </w:tcBorders>
            <w:shd w:val="clear" w:color="auto" w:fill="D3E2CD"/>
            <w:tcMar>
              <w:top w:w="80" w:type="dxa"/>
              <w:left w:w="80" w:type="dxa"/>
              <w:bottom w:w="80" w:type="dxa"/>
              <w:right w:w="80" w:type="dxa"/>
            </w:tcMar>
          </w:tcPr>
          <w:p w14:paraId="31802617" w14:textId="269E13B0" w:rsidR="009F697D" w:rsidRPr="00D63FD0" w:rsidRDefault="00641D69">
            <w:pPr>
              <w:rPr>
                <w:rFonts w:ascii="Arial" w:hAnsi="Arial" w:cs="Arial"/>
              </w:rPr>
            </w:pPr>
            <w:r w:rsidRPr="00D63FD0">
              <w:rPr>
                <w:rFonts w:ascii="Arial" w:hAnsi="Arial" w:cs="Arial"/>
              </w:rPr>
              <w:t>X</w:t>
            </w:r>
          </w:p>
        </w:tc>
      </w:tr>
    </w:tbl>
    <w:p w14:paraId="2C13E2F2" w14:textId="77777777" w:rsidR="009F697D" w:rsidRDefault="009F697D">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108" w:hanging="108"/>
        <w:jc w:val="both"/>
        <w:rPr>
          <w:rStyle w:val="Ninguno"/>
          <w:u w:color="000000"/>
          <w14:textOutline w14:w="12700" w14:cap="flat" w14:cmpd="sng" w14:algn="ctr">
            <w14:noFill/>
            <w14:prstDash w14:val="solid"/>
            <w14:miter w14:lim="400000"/>
          </w14:textOutline>
        </w:rPr>
      </w:pPr>
    </w:p>
    <w:p w14:paraId="11F62420" w14:textId="77777777" w:rsidR="009F697D" w:rsidRDefault="009F697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1CC4D532" w14:textId="631E2CE1" w:rsidR="009F697D" w:rsidRDefault="008A2F48">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EJERCICIO 2. RECURSO EXTRAORDINARIO DE UNIFICACIÓN DE JURISPRUDENCIA</w:t>
      </w:r>
      <w:r>
        <w:rPr>
          <w:rStyle w:val="Ninguno"/>
          <w:u w:color="000000"/>
          <w14:textOutline w14:w="12700" w14:cap="flat" w14:cmpd="sng" w14:algn="ctr">
            <w14:noFill/>
            <w14:prstDash w14:val="solid"/>
            <w14:miter w14:lim="400000"/>
          </w14:textOutline>
        </w:rPr>
        <w:t xml:space="preserve">. </w:t>
      </w:r>
    </w:p>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506"/>
        <w:gridCol w:w="3119"/>
        <w:gridCol w:w="2943"/>
      </w:tblGrid>
      <w:tr w:rsidR="009F697D" w14:paraId="5EFADDCA" w14:textId="77777777">
        <w:trPr>
          <w:trHeight w:val="489"/>
          <w:tblHeader/>
        </w:trPr>
        <w:tc>
          <w:tcPr>
            <w:tcW w:w="2506"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4633A1A1" w14:textId="77777777" w:rsidR="009F697D" w:rsidRDefault="008A2F48">
            <w:pPr>
              <w:keepNext/>
              <w:tabs>
                <w:tab w:val="left" w:pos="708"/>
                <w:tab w:val="left" w:pos="1416"/>
                <w:tab w:val="left" w:pos="2124"/>
              </w:tabs>
              <w:jc w:val="center"/>
            </w:pPr>
            <w:r>
              <w:rPr>
                <w:rStyle w:val="Ninguno"/>
                <w:rFonts w:ascii="Helvetica Neue" w:hAnsi="Helvetica Neue" w:cs="Arial Unicode MS"/>
                <w:b/>
                <w:bCs/>
                <w:color w:val="FFFFFF"/>
                <w:sz w:val="20"/>
                <w:szCs w:val="20"/>
                <w:u w:color="FFFFFF"/>
                <w14:textOutline w14:w="12700" w14:cap="flat" w14:cmpd="sng" w14:algn="ctr">
                  <w14:noFill/>
                  <w14:prstDash w14:val="solid"/>
                  <w14:miter w14:lim="400000"/>
                </w14:textOutline>
              </w:rPr>
              <w:t>ASPECTO PROCESAL</w:t>
            </w:r>
          </w:p>
        </w:tc>
        <w:tc>
          <w:tcPr>
            <w:tcW w:w="3119"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5CC6C63" w14:textId="77777777" w:rsidR="009F697D" w:rsidRDefault="008A2F48">
            <w:pPr>
              <w:keepNext/>
              <w:tabs>
                <w:tab w:val="left" w:pos="708"/>
                <w:tab w:val="left" w:pos="1416"/>
                <w:tab w:val="left" w:pos="2124"/>
                <w:tab w:val="left" w:pos="2832"/>
              </w:tabs>
              <w:jc w:val="center"/>
            </w:pPr>
            <w:r>
              <w:rPr>
                <w:rStyle w:val="Ninguno"/>
                <w:rFonts w:ascii="Helvetica Neue" w:hAnsi="Helvetica Neue" w:cs="Arial Unicode MS"/>
                <w:b/>
                <w:bCs/>
                <w:color w:val="FFFFFF"/>
                <w:sz w:val="20"/>
                <w:szCs w:val="20"/>
                <w:u w:color="FFFFFF"/>
                <w14:textOutline w14:w="12700" w14:cap="flat" w14:cmpd="sng" w14:algn="ctr">
                  <w14:noFill/>
                  <w14:prstDash w14:val="solid"/>
                  <w14:miter w14:lim="400000"/>
                </w14:textOutline>
              </w:rPr>
              <w:t>LEY 1437 DE 2011 (texto original)</w:t>
            </w:r>
          </w:p>
        </w:tc>
        <w:tc>
          <w:tcPr>
            <w:tcW w:w="294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E66F612" w14:textId="77777777" w:rsidR="009F697D" w:rsidRDefault="008A2F48">
            <w:pPr>
              <w:keepNext/>
              <w:tabs>
                <w:tab w:val="left" w:pos="708"/>
                <w:tab w:val="left" w:pos="1416"/>
                <w:tab w:val="left" w:pos="2124"/>
                <w:tab w:val="left" w:pos="2832"/>
              </w:tabs>
              <w:jc w:val="center"/>
            </w:pPr>
            <w:r>
              <w:rPr>
                <w:rStyle w:val="Ninguno"/>
                <w:rFonts w:ascii="Helvetica Neue" w:hAnsi="Helvetica Neue" w:cs="Arial Unicode MS"/>
                <w:b/>
                <w:bCs/>
                <w:color w:val="FFFFFF"/>
                <w:sz w:val="20"/>
                <w:szCs w:val="20"/>
                <w:u w:color="FFFFFF"/>
                <w14:textOutline w14:w="12700" w14:cap="flat" w14:cmpd="sng" w14:algn="ctr">
                  <w14:noFill/>
                  <w14:prstDash w14:val="solid"/>
                  <w14:miter w14:lim="400000"/>
                </w14:textOutline>
              </w:rPr>
              <w:t>LEY 2080 DE 2021</w:t>
            </w:r>
          </w:p>
        </w:tc>
      </w:tr>
      <w:tr w:rsidR="009F697D" w14:paraId="5A8D58E6" w14:textId="77777777" w:rsidTr="00D63FD0">
        <w:tblPrEx>
          <w:shd w:val="clear" w:color="auto" w:fill="CDD4E9"/>
        </w:tblPrEx>
        <w:trPr>
          <w:trHeight w:val="1127"/>
        </w:trPr>
        <w:tc>
          <w:tcPr>
            <w:tcW w:w="2506"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91B72A3" w14:textId="77777777" w:rsidR="009F697D" w:rsidRDefault="008A2F48">
            <w:pPr>
              <w:tabs>
                <w:tab w:val="left" w:pos="708"/>
                <w:tab w:val="left" w:pos="1416"/>
                <w:tab w:val="left" w:pos="2124"/>
              </w:tabs>
              <w:jc w:val="both"/>
            </w:pPr>
            <w:r>
              <w:rPr>
                <w:rStyle w:val="Ninguno"/>
                <w:rFonts w:ascii="Helvetica Neue" w:hAnsi="Helvetica Neue" w:cs="Arial Unicode MS"/>
                <w:b/>
                <w:bCs/>
                <w:color w:val="000000"/>
                <w:sz w:val="20"/>
                <w:szCs w:val="20"/>
                <w:u w:color="000000"/>
                <w14:textOutline w14:w="12700" w14:cap="flat" w14:cmpd="sng" w14:algn="ctr">
                  <w14:noFill/>
                  <w14:prstDash w14:val="solid"/>
                  <w14:miter w14:lim="400000"/>
                </w14:textOutline>
              </w:rPr>
              <w:t xml:space="preserve">SENTENCIAS CONTRA LAS QUE PROCEDE </w:t>
            </w:r>
          </w:p>
        </w:tc>
        <w:tc>
          <w:tcPr>
            <w:tcW w:w="3119"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D09B268" w14:textId="77777777" w:rsidR="009F697D" w:rsidRDefault="008A2F48">
            <w:pPr>
              <w:pStyle w:val="Cuerpo"/>
              <w:tabs>
                <w:tab w:val="left" w:pos="708"/>
                <w:tab w:val="left" w:pos="1416"/>
                <w:tab w:val="left" w:pos="2124"/>
                <w:tab w:val="left" w:pos="2832"/>
              </w:tabs>
              <w:jc w:val="both"/>
            </w:pPr>
            <w:r>
              <w:rPr>
                <w:rStyle w:val="Ninguno"/>
                <w:sz w:val="20"/>
                <w:szCs w:val="20"/>
                <w:u w:color="000000"/>
              </w:rPr>
              <w:t>Sentencias dictadas en única y segunda instancia por los tribunales administrativos.</w:t>
            </w:r>
          </w:p>
        </w:tc>
        <w:tc>
          <w:tcPr>
            <w:tcW w:w="294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80DF56E" w14:textId="48FEB3CA" w:rsidR="009F697D" w:rsidRDefault="00CC6BCB">
            <w:r>
              <w:t xml:space="preserve">Tanto para los </w:t>
            </w:r>
            <w:proofErr w:type="spellStart"/>
            <w:r>
              <w:t>procesos</w:t>
            </w:r>
            <w:proofErr w:type="spellEnd"/>
            <w:r>
              <w:t xml:space="preserve"> que se </w:t>
            </w:r>
            <w:proofErr w:type="spellStart"/>
            <w:r>
              <w:t>rigen</w:t>
            </w:r>
            <w:proofErr w:type="spellEnd"/>
            <w:r>
              <w:t xml:space="preserve"> por </w:t>
            </w:r>
            <w:proofErr w:type="spellStart"/>
            <w:r>
              <w:t>por</w:t>
            </w:r>
            <w:proofErr w:type="spellEnd"/>
            <w:r>
              <w:t xml:space="preserve"> </w:t>
            </w:r>
            <w:proofErr w:type="spellStart"/>
            <w:r>
              <w:t>el</w:t>
            </w:r>
            <w:proofErr w:type="spellEnd"/>
            <w:r>
              <w:t xml:space="preserve"> </w:t>
            </w:r>
            <w:proofErr w:type="spellStart"/>
            <w:r>
              <w:t>Decreto</w:t>
            </w:r>
            <w:proofErr w:type="spellEnd"/>
            <w:r>
              <w:t xml:space="preserve"> 01 </w:t>
            </w:r>
            <w:proofErr w:type="gramStart"/>
            <w:r>
              <w:t>de  1984</w:t>
            </w:r>
            <w:proofErr w:type="gramEnd"/>
            <w:r>
              <w:t xml:space="preserve"> </w:t>
            </w:r>
            <w:proofErr w:type="spellStart"/>
            <w:r>
              <w:t>como</w:t>
            </w:r>
            <w:proofErr w:type="spellEnd"/>
            <w:r>
              <w:t xml:space="preserve"> </w:t>
            </w:r>
            <w:proofErr w:type="spellStart"/>
            <w:r>
              <w:t>aquellos</w:t>
            </w:r>
            <w:proofErr w:type="spellEnd"/>
            <w:r>
              <w:t xml:space="preserve"> que se </w:t>
            </w:r>
            <w:proofErr w:type="spellStart"/>
            <w:r>
              <w:t>tramitan</w:t>
            </w:r>
            <w:proofErr w:type="spellEnd"/>
            <w:r>
              <w:t xml:space="preserve"> por ley 1437 de 2011.</w:t>
            </w:r>
          </w:p>
        </w:tc>
      </w:tr>
      <w:tr w:rsidR="009F697D" w14:paraId="070F90AA" w14:textId="77777777" w:rsidTr="00D63FD0">
        <w:tblPrEx>
          <w:shd w:val="clear" w:color="auto" w:fill="CDD4E9"/>
        </w:tblPrEx>
        <w:trPr>
          <w:trHeight w:val="4831"/>
        </w:trPr>
        <w:tc>
          <w:tcPr>
            <w:tcW w:w="25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B984485" w14:textId="77777777" w:rsidR="009F697D" w:rsidRDefault="008A2F48">
            <w:pPr>
              <w:tabs>
                <w:tab w:val="left" w:pos="708"/>
                <w:tab w:val="left" w:pos="1416"/>
                <w:tab w:val="left" w:pos="2124"/>
              </w:tabs>
              <w:jc w:val="both"/>
            </w:pPr>
            <w:r>
              <w:rPr>
                <w:rStyle w:val="Ninguno"/>
                <w:rFonts w:ascii="Helvetica Neue" w:hAnsi="Helvetica Neue" w:cs="Arial Unicode MS"/>
                <w:b/>
                <w:bCs/>
                <w:color w:val="000000"/>
                <w:sz w:val="20"/>
                <w:szCs w:val="20"/>
                <w:u w:color="000000"/>
                <w14:textOutline w14:w="12700" w14:cap="flat" w14:cmpd="sng" w14:algn="ctr">
                  <w14:noFill/>
                  <w14:prstDash w14:val="solid"/>
                  <w14:miter w14:lim="400000"/>
                </w14:textOutline>
              </w:rPr>
              <w:t xml:space="preserve">CUANTÍAS </w:t>
            </w:r>
          </w:p>
        </w:tc>
        <w:tc>
          <w:tcPr>
            <w:tcW w:w="311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89A1C6" w14:textId="77777777" w:rsidR="009F697D" w:rsidRDefault="008A2F48">
            <w:pPr>
              <w:pStyle w:val="Cuerpo"/>
              <w:tabs>
                <w:tab w:val="left" w:pos="708"/>
                <w:tab w:val="left" w:pos="1416"/>
                <w:tab w:val="left" w:pos="2124"/>
                <w:tab w:val="left" w:pos="2832"/>
              </w:tabs>
              <w:jc w:val="both"/>
              <w:rPr>
                <w:rStyle w:val="Ninguno"/>
                <w:sz w:val="20"/>
                <w:szCs w:val="20"/>
                <w:u w:color="000000"/>
              </w:rPr>
            </w:pPr>
            <w:r>
              <w:rPr>
                <w:rStyle w:val="Ninguno"/>
                <w:sz w:val="20"/>
                <w:szCs w:val="20"/>
                <w:u w:color="000000"/>
              </w:rPr>
              <w:t xml:space="preserve">El recurso procede siempre que la cuantía de la condena o de las pretensiones de la demanda sea igual o exceda los siguientes montos: </w:t>
            </w:r>
          </w:p>
          <w:p w14:paraId="0A0FDB5C" w14:textId="77777777" w:rsidR="009F697D" w:rsidRDefault="009F697D">
            <w:pPr>
              <w:pStyle w:val="Cuerpo"/>
              <w:tabs>
                <w:tab w:val="left" w:pos="708"/>
                <w:tab w:val="left" w:pos="1416"/>
                <w:tab w:val="left" w:pos="2124"/>
                <w:tab w:val="left" w:pos="2832"/>
              </w:tabs>
              <w:jc w:val="both"/>
              <w:rPr>
                <w:rStyle w:val="Ninguno"/>
                <w:sz w:val="20"/>
                <w:szCs w:val="20"/>
                <w:u w:color="000000"/>
              </w:rPr>
            </w:pPr>
          </w:p>
          <w:p w14:paraId="1D5F1544" w14:textId="77777777" w:rsidR="009F697D" w:rsidRDefault="008A2F48">
            <w:pPr>
              <w:numPr>
                <w:ilvl w:val="0"/>
                <w:numId w:val="1"/>
              </w:numPr>
              <w:jc w:val="both"/>
              <w:rPr>
                <w:rFonts w:ascii="Helvetica Neue" w:hAnsi="Helvetica Neue" w:cs="Arial Unicode MS"/>
                <w:color w:val="000000"/>
                <w:sz w:val="20"/>
                <w:szCs w:val="20"/>
                <w:u w:color="000000"/>
                <w:lang w:val="es-ES_tradnl"/>
                <w14:textOutline w14:w="0" w14:cap="flat" w14:cmpd="sng" w14:algn="ctr">
                  <w14:noFill/>
                  <w14:prstDash w14:val="solid"/>
                  <w14:bevel/>
                </w14:textOutline>
              </w:rPr>
            </w:pPr>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 90 </w:t>
            </w:r>
            <w:proofErr w:type="spellStart"/>
            <w:r>
              <w:rPr>
                <w:rStyle w:val="Ninguno"/>
                <w:rFonts w:ascii="Helvetica Neue" w:hAnsi="Helvetica Neue" w:cs="Arial Unicode MS"/>
                <w:color w:val="000000"/>
                <w:sz w:val="20"/>
                <w:szCs w:val="20"/>
                <w:u w:color="000000"/>
                <w14:textOutline w14:w="0" w14:cap="flat" w14:cmpd="sng" w14:algn="ctr">
                  <w14:noFill/>
                  <w14:prstDash w14:val="solid"/>
                  <w14:bevel/>
                </w14:textOutline>
              </w:rPr>
              <w:t>smlmv</w:t>
            </w:r>
            <w:proofErr w:type="spellEnd"/>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 (procesos de nulidad y restablecimiento del derecho de carácter laboral). </w:t>
            </w:r>
          </w:p>
          <w:p w14:paraId="63BF980F" w14:textId="77777777" w:rsidR="009F697D" w:rsidRDefault="008A2F48">
            <w:pPr>
              <w:numPr>
                <w:ilvl w:val="0"/>
                <w:numId w:val="1"/>
              </w:numPr>
              <w:jc w:val="both"/>
              <w:rPr>
                <w:rFonts w:ascii="Helvetica Neue" w:hAnsi="Helvetica Neue" w:cs="Arial Unicode MS"/>
                <w:color w:val="000000"/>
                <w:sz w:val="20"/>
                <w:szCs w:val="20"/>
                <w:u w:color="000000"/>
                <w:lang w:val="es-ES_tradnl"/>
                <w14:textOutline w14:w="0" w14:cap="flat" w14:cmpd="sng" w14:algn="ctr">
                  <w14:noFill/>
                  <w14:prstDash w14:val="solid"/>
                  <w14:bevel/>
                </w14:textOutline>
              </w:rPr>
            </w:pPr>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250 </w:t>
            </w:r>
            <w:proofErr w:type="spellStart"/>
            <w:r>
              <w:rPr>
                <w:rStyle w:val="Ninguno"/>
                <w:rFonts w:ascii="Helvetica Neue" w:hAnsi="Helvetica Neue" w:cs="Arial Unicode MS"/>
                <w:color w:val="000000"/>
                <w:sz w:val="20"/>
                <w:szCs w:val="20"/>
                <w:u w:color="000000"/>
                <w14:textOutline w14:w="0" w14:cap="flat" w14:cmpd="sng" w14:algn="ctr">
                  <w14:noFill/>
                  <w14:prstDash w14:val="solid"/>
                  <w14:bevel/>
                </w14:textOutline>
              </w:rPr>
              <w:t>smlmv</w:t>
            </w:r>
            <w:proofErr w:type="spellEnd"/>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 (procesos nulidad y restablecimiento del derecho).</w:t>
            </w:r>
          </w:p>
          <w:p w14:paraId="483966CB" w14:textId="77777777" w:rsidR="009F697D" w:rsidRDefault="008A2F48">
            <w:pPr>
              <w:numPr>
                <w:ilvl w:val="0"/>
                <w:numId w:val="1"/>
              </w:numPr>
              <w:jc w:val="both"/>
              <w:rPr>
                <w:rFonts w:ascii="Helvetica Neue" w:hAnsi="Helvetica Neue" w:cs="Arial Unicode MS"/>
                <w:color w:val="000000"/>
                <w:sz w:val="20"/>
                <w:szCs w:val="20"/>
                <w:u w:color="000000"/>
                <w:lang w:val="es-ES_tradnl"/>
                <w14:textOutline w14:w="0" w14:cap="flat" w14:cmpd="sng" w14:algn="ctr">
                  <w14:noFill/>
                  <w14:prstDash w14:val="solid"/>
                  <w14:bevel/>
                </w14:textOutline>
              </w:rPr>
            </w:pPr>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 250 </w:t>
            </w:r>
            <w:proofErr w:type="spellStart"/>
            <w:r>
              <w:rPr>
                <w:rStyle w:val="Ninguno"/>
                <w:rFonts w:ascii="Helvetica Neue" w:hAnsi="Helvetica Neue" w:cs="Arial Unicode MS"/>
                <w:color w:val="000000"/>
                <w:sz w:val="20"/>
                <w:szCs w:val="20"/>
                <w:u w:color="000000"/>
                <w14:textOutline w14:w="0" w14:cap="flat" w14:cmpd="sng" w14:algn="ctr">
                  <w14:noFill/>
                  <w14:prstDash w14:val="solid"/>
                  <w14:bevel/>
                </w14:textOutline>
              </w:rPr>
              <w:t>smlmv</w:t>
            </w:r>
            <w:proofErr w:type="spellEnd"/>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 (proceso sobre el monto, distribución o asignación de impuestos, contribuciones y tasas nacionales, departamentales, </w:t>
            </w:r>
            <w:proofErr w:type="spellStart"/>
            <w:r>
              <w:rPr>
                <w:rStyle w:val="Ninguno"/>
                <w:rFonts w:ascii="Helvetica Neue" w:hAnsi="Helvetica Neue" w:cs="Arial Unicode MS"/>
                <w:color w:val="000000"/>
                <w:sz w:val="20"/>
                <w:szCs w:val="20"/>
                <w:u w:color="000000"/>
                <w14:textOutline w14:w="0" w14:cap="flat" w14:cmpd="sng" w14:algn="ctr">
                  <w14:noFill/>
                  <w14:prstDash w14:val="solid"/>
                  <w14:bevel/>
                </w14:textOutline>
              </w:rPr>
              <w:t>muncipales</w:t>
            </w:r>
            <w:proofErr w:type="spellEnd"/>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 o distritales.  </w:t>
            </w:r>
          </w:p>
          <w:p w14:paraId="5D295070" w14:textId="77777777" w:rsidR="009F697D" w:rsidRDefault="008A2F48">
            <w:pPr>
              <w:numPr>
                <w:ilvl w:val="0"/>
                <w:numId w:val="1"/>
              </w:numPr>
              <w:jc w:val="both"/>
              <w:rPr>
                <w:rFonts w:ascii="Helvetica Neue" w:hAnsi="Helvetica Neue" w:cs="Arial Unicode MS"/>
                <w:color w:val="000000"/>
                <w:sz w:val="20"/>
                <w:szCs w:val="20"/>
                <w:u w:color="000000"/>
                <w:lang w:val="es-ES_tradnl"/>
                <w14:textOutline w14:w="0" w14:cap="flat" w14:cmpd="sng" w14:algn="ctr">
                  <w14:noFill/>
                  <w14:prstDash w14:val="solid"/>
                  <w14:bevel/>
                </w14:textOutline>
              </w:rPr>
            </w:pPr>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 450 </w:t>
            </w:r>
            <w:proofErr w:type="spellStart"/>
            <w:r>
              <w:rPr>
                <w:rStyle w:val="Ninguno"/>
                <w:rFonts w:ascii="Helvetica Neue" w:hAnsi="Helvetica Neue" w:cs="Arial Unicode MS"/>
                <w:color w:val="000000"/>
                <w:sz w:val="20"/>
                <w:szCs w:val="20"/>
                <w:u w:color="000000"/>
                <w14:textOutline w14:w="0" w14:cap="flat" w14:cmpd="sng" w14:algn="ctr">
                  <w14:noFill/>
                  <w14:prstDash w14:val="solid"/>
                  <w14:bevel/>
                </w14:textOutline>
              </w:rPr>
              <w:t>smlmv</w:t>
            </w:r>
            <w:proofErr w:type="spellEnd"/>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 (procesos sobre contratos de las entidades estatales).</w:t>
            </w:r>
          </w:p>
          <w:p w14:paraId="14FFB899" w14:textId="77777777" w:rsidR="009F697D" w:rsidRDefault="008A2F48">
            <w:pPr>
              <w:numPr>
                <w:ilvl w:val="0"/>
                <w:numId w:val="1"/>
              </w:numPr>
              <w:jc w:val="both"/>
              <w:rPr>
                <w:rFonts w:ascii="Helvetica Neue" w:hAnsi="Helvetica Neue" w:cs="Arial Unicode MS"/>
                <w:color w:val="000000"/>
                <w:sz w:val="20"/>
                <w:szCs w:val="20"/>
                <w:u w:color="000000"/>
                <w:lang w:val="es-ES_tradnl"/>
                <w14:textOutline w14:w="0" w14:cap="flat" w14:cmpd="sng" w14:algn="ctr">
                  <w14:noFill/>
                  <w14:prstDash w14:val="solid"/>
                  <w14:bevel/>
                </w14:textOutline>
              </w:rPr>
            </w:pPr>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 450 </w:t>
            </w:r>
            <w:proofErr w:type="spellStart"/>
            <w:r>
              <w:rPr>
                <w:rStyle w:val="Ninguno"/>
                <w:rFonts w:ascii="Helvetica Neue" w:hAnsi="Helvetica Neue" w:cs="Arial Unicode MS"/>
                <w:color w:val="000000"/>
                <w:sz w:val="20"/>
                <w:szCs w:val="20"/>
                <w:u w:color="000000"/>
                <w14:textOutline w14:w="0" w14:cap="flat" w14:cmpd="sng" w14:algn="ctr">
                  <w14:noFill/>
                  <w14:prstDash w14:val="solid"/>
                  <w14:bevel/>
                </w14:textOutline>
              </w:rPr>
              <w:t>smlmv</w:t>
            </w:r>
            <w:proofErr w:type="spellEnd"/>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 (procesos de reparación directa y de repetición).</w:t>
            </w:r>
          </w:p>
          <w:p w14:paraId="31598C3E" w14:textId="77777777" w:rsidR="009F697D" w:rsidRDefault="008A2F48">
            <w:pPr>
              <w:tabs>
                <w:tab w:val="left" w:pos="708"/>
                <w:tab w:val="left" w:pos="1416"/>
                <w:tab w:val="left" w:pos="2124"/>
                <w:tab w:val="left" w:pos="2832"/>
              </w:tabs>
              <w:ind w:left="153"/>
              <w:jc w:val="both"/>
            </w:pPr>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   </w:t>
            </w:r>
          </w:p>
        </w:tc>
        <w:tc>
          <w:tcPr>
            <w:tcW w:w="294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88F1DF7" w14:textId="77777777" w:rsidR="009F697D" w:rsidRDefault="009F697D"/>
          <w:p w14:paraId="24FD55EC" w14:textId="77777777" w:rsidR="00CC6BCB" w:rsidRDefault="00CC6BCB"/>
          <w:p w14:paraId="1F34EB33" w14:textId="77777777" w:rsidR="00CC6BCB" w:rsidRDefault="00CC6BCB"/>
          <w:p w14:paraId="61804583" w14:textId="77777777" w:rsidR="00CC6BCB" w:rsidRDefault="00CC6BCB"/>
          <w:p w14:paraId="04D5DDFF" w14:textId="77777777" w:rsidR="00CC6BCB" w:rsidRDefault="00CC6BCB"/>
          <w:p w14:paraId="20371C00" w14:textId="77777777" w:rsidR="00CC6BCB" w:rsidRDefault="00CC6BCB"/>
          <w:p w14:paraId="66DF192C" w14:textId="07F667E1" w:rsidR="00CC6BCB" w:rsidRDefault="00CC6BCB">
            <w:r>
              <w:t>XX</w:t>
            </w:r>
            <w:r w:rsidR="006E07F3">
              <w:t xml:space="preserve"> </w:t>
            </w:r>
            <w:proofErr w:type="gramStart"/>
            <w:r w:rsidR="006E07F3">
              <w:t>( sin</w:t>
            </w:r>
            <w:proofErr w:type="gramEnd"/>
            <w:r w:rsidR="006E07F3">
              <w:t xml:space="preserve"> </w:t>
            </w:r>
            <w:proofErr w:type="spellStart"/>
            <w:r w:rsidR="006E07F3">
              <w:t>consideracion</w:t>
            </w:r>
            <w:proofErr w:type="spellEnd"/>
            <w:r w:rsidR="006E07F3">
              <w:t xml:space="preserve"> a la </w:t>
            </w:r>
            <w:proofErr w:type="spellStart"/>
            <w:r w:rsidR="006E07F3">
              <w:t>cuantia</w:t>
            </w:r>
            <w:proofErr w:type="spellEnd"/>
            <w:r w:rsidR="006E07F3">
              <w:t>)</w:t>
            </w:r>
          </w:p>
          <w:p w14:paraId="78487FCD" w14:textId="77777777" w:rsidR="00CC6BCB" w:rsidRDefault="00CC6BCB"/>
          <w:p w14:paraId="2CF0A5A7" w14:textId="77777777" w:rsidR="00CC6BCB" w:rsidRDefault="00CC6BCB"/>
          <w:p w14:paraId="5365E503" w14:textId="105BCDBE" w:rsidR="00CC6BCB" w:rsidRDefault="00CC6BCB"/>
        </w:tc>
      </w:tr>
      <w:tr w:rsidR="009F697D" w14:paraId="1D7A1220" w14:textId="77777777">
        <w:tblPrEx>
          <w:shd w:val="clear" w:color="auto" w:fill="CDD4E9"/>
        </w:tblPrEx>
        <w:trPr>
          <w:trHeight w:val="964"/>
        </w:trPr>
        <w:tc>
          <w:tcPr>
            <w:tcW w:w="25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B2D84CC" w14:textId="77777777" w:rsidR="009F697D" w:rsidRDefault="008A2F48">
            <w:pPr>
              <w:tabs>
                <w:tab w:val="left" w:pos="708"/>
                <w:tab w:val="left" w:pos="1416"/>
                <w:tab w:val="left" w:pos="2124"/>
              </w:tabs>
              <w:jc w:val="both"/>
            </w:pPr>
            <w:r>
              <w:rPr>
                <w:rStyle w:val="Ninguno"/>
                <w:rFonts w:ascii="Helvetica Neue" w:hAnsi="Helvetica Neue" w:cs="Arial Unicode MS"/>
                <w:b/>
                <w:bCs/>
                <w:color w:val="000000"/>
                <w:sz w:val="20"/>
                <w:szCs w:val="20"/>
                <w:u w:color="000000"/>
                <w14:textOutline w14:w="12700" w14:cap="flat" w14:cmpd="sng" w14:algn="ctr">
                  <w14:noFill/>
                  <w14:prstDash w14:val="solid"/>
                  <w14:miter w14:lim="400000"/>
                </w14:textOutline>
              </w:rPr>
              <w:t>SUSTENTACIÓN DEL RECURSO</w:t>
            </w:r>
          </w:p>
        </w:tc>
        <w:tc>
          <w:tcPr>
            <w:tcW w:w="3119"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C4C8B69" w14:textId="77777777" w:rsidR="009F697D" w:rsidRDefault="008A2F48">
            <w:pPr>
              <w:pStyle w:val="Cuerpo"/>
              <w:tabs>
                <w:tab w:val="left" w:pos="708"/>
                <w:tab w:val="left" w:pos="1416"/>
                <w:tab w:val="left" w:pos="2124"/>
                <w:tab w:val="left" w:pos="2832"/>
              </w:tabs>
              <w:jc w:val="both"/>
            </w:pPr>
            <w:r>
              <w:rPr>
                <w:rStyle w:val="Ninguno"/>
                <w:sz w:val="20"/>
                <w:szCs w:val="20"/>
                <w:u w:color="000000"/>
              </w:rPr>
              <w:t xml:space="preserve">Se sustenta dentro del término de traslado (20 días) que concede el tribunal ante el cual se interpone el recurso.  </w:t>
            </w:r>
          </w:p>
        </w:tc>
        <w:tc>
          <w:tcPr>
            <w:tcW w:w="294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F8CF404" w14:textId="4C791C01" w:rsidR="009F697D" w:rsidRDefault="006E07F3">
            <w:r>
              <w:t xml:space="preserve">Se </w:t>
            </w:r>
            <w:proofErr w:type="spellStart"/>
            <w:r>
              <w:t>interpone</w:t>
            </w:r>
            <w:proofErr w:type="spellEnd"/>
            <w:r>
              <w:t xml:space="preserve"> y </w:t>
            </w:r>
            <w:proofErr w:type="spellStart"/>
            <w:r>
              <w:t>sustenta</w:t>
            </w:r>
            <w:proofErr w:type="spellEnd"/>
            <w:r>
              <w:t xml:space="preserve"> ante </w:t>
            </w:r>
            <w:proofErr w:type="spellStart"/>
            <w:r>
              <w:t>el</w:t>
            </w:r>
            <w:proofErr w:type="spellEnd"/>
            <w:r>
              <w:t xml:space="preserve"> que </w:t>
            </w:r>
            <w:proofErr w:type="spellStart"/>
            <w:r>
              <w:t>expidio</w:t>
            </w:r>
            <w:proofErr w:type="spellEnd"/>
            <w:r>
              <w:t xml:space="preserve"> la Providencia dentro de los 10 </w:t>
            </w:r>
            <w:proofErr w:type="spellStart"/>
            <w:r>
              <w:t>dias</w:t>
            </w:r>
            <w:proofErr w:type="spellEnd"/>
            <w:r>
              <w:t xml:space="preserve"> </w:t>
            </w:r>
            <w:proofErr w:type="spellStart"/>
            <w:r>
              <w:t>siguientes</w:t>
            </w:r>
            <w:proofErr w:type="spellEnd"/>
            <w:r>
              <w:t xml:space="preserve"> a </w:t>
            </w:r>
            <w:proofErr w:type="spellStart"/>
            <w:r>
              <w:t>su</w:t>
            </w:r>
            <w:proofErr w:type="spellEnd"/>
            <w:r>
              <w:t xml:space="preserve"> </w:t>
            </w:r>
            <w:proofErr w:type="spellStart"/>
            <w:r>
              <w:t>ejecutoria</w:t>
            </w:r>
            <w:proofErr w:type="spellEnd"/>
          </w:p>
        </w:tc>
      </w:tr>
      <w:tr w:rsidR="009F697D" w14:paraId="1DE67378" w14:textId="77777777" w:rsidTr="00D63FD0">
        <w:tblPrEx>
          <w:shd w:val="clear" w:color="auto" w:fill="CDD4E9"/>
        </w:tblPrEx>
        <w:trPr>
          <w:trHeight w:val="1238"/>
        </w:trPr>
        <w:tc>
          <w:tcPr>
            <w:tcW w:w="25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F1612D7" w14:textId="77777777" w:rsidR="009F697D" w:rsidRDefault="008A2F48">
            <w:pPr>
              <w:tabs>
                <w:tab w:val="left" w:pos="708"/>
                <w:tab w:val="left" w:pos="1416"/>
                <w:tab w:val="left" w:pos="2124"/>
              </w:tabs>
              <w:jc w:val="both"/>
            </w:pPr>
            <w:r>
              <w:rPr>
                <w:rStyle w:val="Ninguno"/>
                <w:rFonts w:ascii="Helvetica Neue" w:hAnsi="Helvetica Neue" w:cs="Arial Unicode MS"/>
                <w:b/>
                <w:bCs/>
                <w:color w:val="000000"/>
                <w:sz w:val="20"/>
                <w:szCs w:val="20"/>
                <w:u w:color="000000"/>
                <w14:textOutline w14:w="12700" w14:cap="flat" w14:cmpd="sng" w14:algn="ctr">
                  <w14:noFill/>
                  <w14:prstDash w14:val="solid"/>
                  <w14:miter w14:lim="400000"/>
                </w14:textOutline>
              </w:rPr>
              <w:t xml:space="preserve">SUSPENSIÓN EN LA EJECUCIÓN DE LA SENTENCIA </w:t>
            </w:r>
          </w:p>
        </w:tc>
        <w:tc>
          <w:tcPr>
            <w:tcW w:w="311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CDDAB4E" w14:textId="77777777" w:rsidR="009F697D" w:rsidRDefault="008A2F48">
            <w:pPr>
              <w:pStyle w:val="Cuerpo"/>
              <w:tabs>
                <w:tab w:val="left" w:pos="708"/>
                <w:tab w:val="left" w:pos="1416"/>
                <w:tab w:val="left" w:pos="2124"/>
                <w:tab w:val="left" w:pos="2832"/>
              </w:tabs>
              <w:jc w:val="both"/>
            </w:pPr>
            <w:r>
              <w:rPr>
                <w:rStyle w:val="Ninguno"/>
                <w:sz w:val="20"/>
                <w:szCs w:val="20"/>
                <w:u w:color="000000"/>
              </w:rPr>
              <w:t xml:space="preserve">Cuando el recurrente fuere único se puede solicitar la suspensión del cumplimiento de la providencia recurrida, para lo cual deberá prestar caución. </w:t>
            </w:r>
          </w:p>
        </w:tc>
        <w:tc>
          <w:tcPr>
            <w:tcW w:w="294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F01AA14" w14:textId="1301D364" w:rsidR="009F697D" w:rsidRDefault="00AE2589">
            <w:r>
              <w:t xml:space="preserve">Si la </w:t>
            </w:r>
            <w:proofErr w:type="spellStart"/>
            <w:r>
              <w:t>caución</w:t>
            </w:r>
            <w:proofErr w:type="spellEnd"/>
            <w:r>
              <w:t xml:space="preserve"> es </w:t>
            </w:r>
            <w:proofErr w:type="spellStart"/>
            <w:r>
              <w:t>suficiente</w:t>
            </w:r>
            <w:proofErr w:type="spellEnd"/>
            <w:r>
              <w:t xml:space="preserve"> se </w:t>
            </w:r>
            <w:proofErr w:type="spellStart"/>
            <w:r>
              <w:t>decretará</w:t>
            </w:r>
            <w:proofErr w:type="spellEnd"/>
            <w:r>
              <w:t xml:space="preserve"> la suspension del </w:t>
            </w:r>
            <w:proofErr w:type="spellStart"/>
            <w:r>
              <w:t>cumplimiento</w:t>
            </w:r>
            <w:proofErr w:type="spellEnd"/>
            <w:r>
              <w:t xml:space="preserve"> de la </w:t>
            </w:r>
            <w:proofErr w:type="spellStart"/>
            <w:r>
              <w:t>sentencia</w:t>
            </w:r>
            <w:proofErr w:type="spellEnd"/>
            <w:r>
              <w:t xml:space="preserve"> </w:t>
            </w:r>
            <w:proofErr w:type="spellStart"/>
            <w:r>
              <w:t>en</w:t>
            </w:r>
            <w:proofErr w:type="spellEnd"/>
            <w:r>
              <w:t xml:space="preserve"> </w:t>
            </w:r>
            <w:proofErr w:type="spellStart"/>
            <w:r>
              <w:t>el</w:t>
            </w:r>
            <w:proofErr w:type="spellEnd"/>
            <w:r>
              <w:t xml:space="preserve"> </w:t>
            </w:r>
            <w:proofErr w:type="spellStart"/>
            <w:r>
              <w:t>mismo</w:t>
            </w:r>
            <w:proofErr w:type="spellEnd"/>
            <w:r>
              <w:t xml:space="preserve"> auto que </w:t>
            </w:r>
            <w:proofErr w:type="spellStart"/>
            <w:r>
              <w:t>conceda</w:t>
            </w:r>
            <w:proofErr w:type="spellEnd"/>
            <w:r>
              <w:t xml:space="preserve"> </w:t>
            </w:r>
            <w:proofErr w:type="spellStart"/>
            <w:r>
              <w:t>el</w:t>
            </w:r>
            <w:proofErr w:type="spellEnd"/>
            <w:r>
              <w:t xml:space="preserve"> </w:t>
            </w:r>
            <w:proofErr w:type="spellStart"/>
            <w:r>
              <w:t>recurso</w:t>
            </w:r>
            <w:proofErr w:type="spellEnd"/>
            <w:r>
              <w:t xml:space="preserve">. Si </w:t>
            </w:r>
            <w:proofErr w:type="spellStart"/>
            <w:r>
              <w:t>el</w:t>
            </w:r>
            <w:proofErr w:type="spellEnd"/>
            <w:r>
              <w:t xml:space="preserve"> </w:t>
            </w:r>
            <w:proofErr w:type="spellStart"/>
            <w:r>
              <w:t>recurrente</w:t>
            </w:r>
            <w:proofErr w:type="spellEnd"/>
            <w:r>
              <w:t xml:space="preserve"> no </w:t>
            </w:r>
            <w:proofErr w:type="spellStart"/>
            <w:r>
              <w:t>otorga</w:t>
            </w:r>
            <w:proofErr w:type="spellEnd"/>
            <w:r>
              <w:t xml:space="preserve"> la </w:t>
            </w:r>
            <w:proofErr w:type="spellStart"/>
            <w:r>
              <w:lastRenderedPageBreak/>
              <w:t>caución</w:t>
            </w:r>
            <w:proofErr w:type="spellEnd"/>
            <w:r>
              <w:t xml:space="preserve"> </w:t>
            </w:r>
            <w:proofErr w:type="spellStart"/>
            <w:r>
              <w:t>en</w:t>
            </w:r>
            <w:proofErr w:type="spellEnd"/>
            <w:r>
              <w:t xml:space="preserve"> la forma y </w:t>
            </w:r>
            <w:proofErr w:type="spellStart"/>
            <w:r>
              <w:t>términos</w:t>
            </w:r>
            <w:proofErr w:type="spellEnd"/>
            <w:r>
              <w:t xml:space="preserve"> </w:t>
            </w:r>
            <w:proofErr w:type="spellStart"/>
            <w:r>
              <w:t>ordenados</w:t>
            </w:r>
            <w:proofErr w:type="spellEnd"/>
            <w:r>
              <w:t xml:space="preserve">, </w:t>
            </w:r>
            <w:proofErr w:type="spellStart"/>
            <w:r>
              <w:t>continuará</w:t>
            </w:r>
            <w:proofErr w:type="spellEnd"/>
            <w:r>
              <w:t xml:space="preserve"> </w:t>
            </w:r>
            <w:proofErr w:type="spellStart"/>
            <w:r>
              <w:t>el</w:t>
            </w:r>
            <w:proofErr w:type="spellEnd"/>
            <w:r>
              <w:t xml:space="preserve"> </w:t>
            </w:r>
            <w:proofErr w:type="spellStart"/>
            <w:r>
              <w:t>trámite</w:t>
            </w:r>
            <w:proofErr w:type="spellEnd"/>
            <w:r>
              <w:t xml:space="preserve"> del </w:t>
            </w:r>
            <w:proofErr w:type="spellStart"/>
            <w:r>
              <w:t>recurso</w:t>
            </w:r>
            <w:proofErr w:type="spellEnd"/>
            <w:r>
              <w:t xml:space="preserve">, </w:t>
            </w:r>
            <w:proofErr w:type="spellStart"/>
            <w:r>
              <w:t>pero</w:t>
            </w:r>
            <w:proofErr w:type="spellEnd"/>
            <w:r>
              <w:t xml:space="preserve"> no </w:t>
            </w:r>
            <w:proofErr w:type="spellStart"/>
            <w:r>
              <w:t>suspenderá</w:t>
            </w:r>
            <w:proofErr w:type="spellEnd"/>
            <w:r>
              <w:t xml:space="preserve"> la </w:t>
            </w:r>
            <w:proofErr w:type="spellStart"/>
            <w:r>
              <w:t>ejecución</w:t>
            </w:r>
            <w:proofErr w:type="spellEnd"/>
            <w:r>
              <w:t xml:space="preserve"> de la </w:t>
            </w:r>
            <w:proofErr w:type="spellStart"/>
            <w:r>
              <w:t>sentencia</w:t>
            </w:r>
            <w:proofErr w:type="spellEnd"/>
            <w:r>
              <w:t>.</w:t>
            </w:r>
          </w:p>
        </w:tc>
      </w:tr>
      <w:tr w:rsidR="009F697D" w14:paraId="1883C29F" w14:textId="77777777">
        <w:tblPrEx>
          <w:shd w:val="clear" w:color="auto" w:fill="CDD4E9"/>
        </w:tblPrEx>
        <w:trPr>
          <w:trHeight w:val="2164"/>
        </w:trPr>
        <w:tc>
          <w:tcPr>
            <w:tcW w:w="25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E890E5" w14:textId="77777777" w:rsidR="009F697D" w:rsidRDefault="008A2F48">
            <w:pPr>
              <w:tabs>
                <w:tab w:val="left" w:pos="708"/>
                <w:tab w:val="left" w:pos="1416"/>
                <w:tab w:val="left" w:pos="2124"/>
              </w:tabs>
              <w:jc w:val="both"/>
            </w:pPr>
            <w:r>
              <w:rPr>
                <w:rStyle w:val="Ninguno"/>
                <w:rFonts w:ascii="Helvetica Neue" w:hAnsi="Helvetica Neue" w:cs="Arial Unicode MS"/>
                <w:b/>
                <w:bCs/>
                <w:color w:val="000000"/>
                <w:sz w:val="20"/>
                <w:szCs w:val="20"/>
                <w:u w:color="000000"/>
                <w14:textOutline w14:w="12700" w14:cap="flat" w14:cmpd="sng" w14:algn="ctr">
                  <w14:noFill/>
                  <w14:prstDash w14:val="solid"/>
                  <w14:miter w14:lim="400000"/>
                </w14:textOutline>
              </w:rPr>
              <w:lastRenderedPageBreak/>
              <w:t xml:space="preserve">ADMISIÓN DEL RECURSO </w:t>
            </w:r>
          </w:p>
        </w:tc>
        <w:tc>
          <w:tcPr>
            <w:tcW w:w="3119"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10B73E9" w14:textId="77777777" w:rsidR="009F697D" w:rsidRDefault="008A2F48">
            <w:pPr>
              <w:pStyle w:val="Cuerpo"/>
              <w:tabs>
                <w:tab w:val="left" w:pos="708"/>
                <w:tab w:val="left" w:pos="1416"/>
                <w:tab w:val="left" w:pos="2124"/>
                <w:tab w:val="left" w:pos="2832"/>
              </w:tabs>
              <w:jc w:val="both"/>
            </w:pPr>
            <w:r>
              <w:rPr>
                <w:rStyle w:val="Ninguno"/>
                <w:sz w:val="20"/>
                <w:szCs w:val="20"/>
                <w:u w:color="000000"/>
              </w:rPr>
              <w:t xml:space="preserve">Reunidos los requisitos legales, el ponente lo admitirá. Si carece de los requisitos así lo señalará para que el recurrente los subsane en el término de (5) cinco días. En caso de que no los subsane, lo inadmitirá y ordenará devolver el expediente al tribunal de origen. </w:t>
            </w:r>
          </w:p>
        </w:tc>
        <w:tc>
          <w:tcPr>
            <w:tcW w:w="294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FDED5B3" w14:textId="081A3CA7" w:rsidR="00AE2589" w:rsidRDefault="00AE2589">
            <w:r>
              <w:t xml:space="preserve">Si no se </w:t>
            </w:r>
            <w:proofErr w:type="spellStart"/>
            <w:r>
              <w:t>subsana</w:t>
            </w:r>
            <w:proofErr w:type="spellEnd"/>
            <w:r>
              <w:t xml:space="preserve"> se </w:t>
            </w:r>
            <w:proofErr w:type="spellStart"/>
            <w:r>
              <w:t>rechazará</w:t>
            </w:r>
            <w:proofErr w:type="spellEnd"/>
            <w:r>
              <w:t xml:space="preserve"> y </w:t>
            </w:r>
            <w:proofErr w:type="spellStart"/>
            <w:r>
              <w:t>ordenará</w:t>
            </w:r>
            <w:proofErr w:type="spellEnd"/>
            <w:r>
              <w:t xml:space="preserve"> </w:t>
            </w:r>
            <w:proofErr w:type="spellStart"/>
            <w:r>
              <w:t>devolver</w:t>
            </w:r>
            <w:proofErr w:type="spellEnd"/>
            <w:r>
              <w:t xml:space="preserve"> </w:t>
            </w:r>
            <w:proofErr w:type="spellStart"/>
            <w:r>
              <w:t>el</w:t>
            </w:r>
            <w:proofErr w:type="spellEnd"/>
            <w:r>
              <w:t xml:space="preserve"> </w:t>
            </w:r>
            <w:proofErr w:type="spellStart"/>
            <w:r>
              <w:t>expediente</w:t>
            </w:r>
            <w:proofErr w:type="spellEnd"/>
            <w:r>
              <w:t xml:space="preserve"> al </w:t>
            </w:r>
            <w:proofErr w:type="spellStart"/>
            <w:r>
              <w:t>despacho</w:t>
            </w:r>
            <w:proofErr w:type="spellEnd"/>
            <w:r>
              <w:t xml:space="preserve"> de </w:t>
            </w:r>
            <w:proofErr w:type="spellStart"/>
            <w:r>
              <w:t>origen</w:t>
            </w:r>
            <w:proofErr w:type="spellEnd"/>
            <w:r>
              <w:t xml:space="preserve">, </w:t>
            </w:r>
            <w:proofErr w:type="spellStart"/>
            <w:r>
              <w:t>también</w:t>
            </w:r>
            <w:proofErr w:type="spellEnd"/>
            <w:r>
              <w:t xml:space="preserve"> se </w:t>
            </w:r>
            <w:proofErr w:type="spellStart"/>
            <w:r>
              <w:t>rechaza</w:t>
            </w:r>
            <w:proofErr w:type="spellEnd"/>
            <w:r>
              <w:t xml:space="preserve"> </w:t>
            </w:r>
            <w:proofErr w:type="spellStart"/>
            <w:r>
              <w:t>cuando</w:t>
            </w:r>
            <w:proofErr w:type="spellEnd"/>
            <w:r>
              <w:t xml:space="preserve"> </w:t>
            </w:r>
            <w:proofErr w:type="spellStart"/>
            <w:r>
              <w:t>fuere</w:t>
            </w:r>
            <w:proofErr w:type="spellEnd"/>
            <w:r>
              <w:t xml:space="preserve"> </w:t>
            </w:r>
            <w:proofErr w:type="spellStart"/>
            <w:r>
              <w:t>improcedente</w:t>
            </w:r>
            <w:proofErr w:type="spellEnd"/>
            <w:r>
              <w:t xml:space="preserve">, </w:t>
            </w:r>
            <w:proofErr w:type="spellStart"/>
            <w:r>
              <w:t>pese</w:t>
            </w:r>
            <w:proofErr w:type="spellEnd"/>
            <w:r>
              <w:t xml:space="preserve"> a </w:t>
            </w:r>
            <w:proofErr w:type="spellStart"/>
            <w:r>
              <w:t>haberse</w:t>
            </w:r>
            <w:proofErr w:type="spellEnd"/>
            <w:r>
              <w:t xml:space="preserve"> </w:t>
            </w:r>
            <w:proofErr w:type="spellStart"/>
            <w:r>
              <w:t>concedido</w:t>
            </w:r>
            <w:proofErr w:type="spellEnd"/>
            <w:r w:rsidR="00956EF5">
              <w:t>.</w:t>
            </w:r>
          </w:p>
          <w:p w14:paraId="5F6A9FDD" w14:textId="5E3828B1" w:rsidR="009F697D" w:rsidRDefault="00AE2589">
            <w:r>
              <w:t xml:space="preserve">Se </w:t>
            </w:r>
            <w:proofErr w:type="spellStart"/>
            <w:r>
              <w:t>rechazará</w:t>
            </w:r>
            <w:proofErr w:type="spellEnd"/>
            <w:r>
              <w:t xml:space="preserve"> de </w:t>
            </w:r>
            <w:proofErr w:type="spellStart"/>
            <w:r w:rsidR="00956EF5">
              <w:t>plano</w:t>
            </w:r>
            <w:proofErr w:type="spellEnd"/>
            <w:r w:rsidR="00956EF5">
              <w:t xml:space="preserve"> y se </w:t>
            </w:r>
            <w:proofErr w:type="spellStart"/>
            <w:r w:rsidR="00956EF5">
              <w:t>condenará</w:t>
            </w:r>
            <w:proofErr w:type="spellEnd"/>
            <w:r w:rsidR="00956EF5">
              <w:t xml:space="preserve"> </w:t>
            </w:r>
            <w:proofErr w:type="spellStart"/>
            <w:r w:rsidR="00956EF5">
              <w:t>en</w:t>
            </w:r>
            <w:proofErr w:type="spellEnd"/>
            <w:r w:rsidR="00956EF5">
              <w:t xml:space="preserve"> </w:t>
            </w:r>
            <w:proofErr w:type="spellStart"/>
            <w:r w:rsidR="00956EF5">
              <w:t>costas</w:t>
            </w:r>
            <w:proofErr w:type="spellEnd"/>
            <w:r w:rsidR="00956EF5">
              <w:t xml:space="preserve"> al </w:t>
            </w:r>
            <w:proofErr w:type="spellStart"/>
            <w:r w:rsidR="00956EF5">
              <w:t>recurrente</w:t>
            </w:r>
            <w:proofErr w:type="spellEnd"/>
            <w:r w:rsidR="00956EF5">
              <w:t xml:space="preserve">, </w:t>
            </w:r>
            <w:proofErr w:type="spellStart"/>
            <w:r w:rsidR="00956EF5">
              <w:t>cuando</w:t>
            </w:r>
            <w:proofErr w:type="spellEnd"/>
            <w:r w:rsidR="00956EF5">
              <w:t xml:space="preserve"> no se </w:t>
            </w:r>
            <w:proofErr w:type="spellStart"/>
            <w:r w:rsidR="00956EF5">
              <w:t>fundamente</w:t>
            </w:r>
            <w:proofErr w:type="spellEnd"/>
            <w:r w:rsidR="00956EF5">
              <w:t xml:space="preserve"> </w:t>
            </w:r>
            <w:proofErr w:type="spellStart"/>
            <w:r w:rsidR="00956EF5">
              <w:t>directamente</w:t>
            </w:r>
            <w:proofErr w:type="spellEnd"/>
            <w:r w:rsidR="00956EF5">
              <w:t xml:space="preserve"> </w:t>
            </w:r>
            <w:proofErr w:type="spellStart"/>
            <w:r w:rsidR="00956EF5">
              <w:t>en</w:t>
            </w:r>
            <w:proofErr w:type="spellEnd"/>
            <w:r w:rsidR="00956EF5">
              <w:t xml:space="preserve"> una </w:t>
            </w:r>
            <w:proofErr w:type="spellStart"/>
            <w:r w:rsidR="00956EF5">
              <w:t>sentencia</w:t>
            </w:r>
            <w:proofErr w:type="spellEnd"/>
            <w:r w:rsidR="00956EF5">
              <w:t xml:space="preserve"> de </w:t>
            </w:r>
            <w:proofErr w:type="spellStart"/>
            <w:r w:rsidR="00956EF5">
              <w:t>unificación</w:t>
            </w:r>
            <w:proofErr w:type="spellEnd"/>
            <w:r w:rsidR="00956EF5">
              <w:t xml:space="preserve"> </w:t>
            </w:r>
            <w:proofErr w:type="spellStart"/>
            <w:r w:rsidR="00956EF5">
              <w:t>jurisprudencial</w:t>
            </w:r>
            <w:proofErr w:type="spellEnd"/>
            <w:r w:rsidR="00956EF5">
              <w:t xml:space="preserve"> o </w:t>
            </w:r>
            <w:proofErr w:type="spellStart"/>
            <w:r w:rsidR="00956EF5">
              <w:t>cuando</w:t>
            </w:r>
            <w:proofErr w:type="spellEnd"/>
            <w:r w:rsidR="00956EF5">
              <w:t xml:space="preserve"> sea </w:t>
            </w:r>
            <w:proofErr w:type="spellStart"/>
            <w:r w:rsidR="00956EF5">
              <w:t>evidente</w:t>
            </w:r>
            <w:proofErr w:type="spellEnd"/>
            <w:r w:rsidR="00956EF5">
              <w:t xml:space="preserve"> que </w:t>
            </w:r>
            <w:proofErr w:type="spellStart"/>
            <w:r w:rsidR="00956EF5">
              <w:t>esta</w:t>
            </w:r>
            <w:proofErr w:type="spellEnd"/>
            <w:r w:rsidR="00956EF5">
              <w:t xml:space="preserve"> no es </w:t>
            </w:r>
            <w:proofErr w:type="spellStart"/>
            <w:r w:rsidR="00956EF5">
              <w:t>aplicable</w:t>
            </w:r>
            <w:proofErr w:type="spellEnd"/>
            <w:r w:rsidR="00956EF5">
              <w:t xml:space="preserve"> al </w:t>
            </w:r>
            <w:proofErr w:type="spellStart"/>
            <w:r w:rsidR="00956EF5">
              <w:t>caso</w:t>
            </w:r>
            <w:proofErr w:type="spellEnd"/>
            <w:r w:rsidR="00956EF5">
              <w:t>.</w:t>
            </w:r>
          </w:p>
        </w:tc>
      </w:tr>
      <w:tr w:rsidR="009F697D" w14:paraId="059CF358" w14:textId="77777777">
        <w:tblPrEx>
          <w:shd w:val="clear" w:color="auto" w:fill="CDD4E9"/>
        </w:tblPrEx>
        <w:trPr>
          <w:trHeight w:val="7924"/>
        </w:trPr>
        <w:tc>
          <w:tcPr>
            <w:tcW w:w="25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1CDFF5E" w14:textId="77777777" w:rsidR="009F697D" w:rsidRDefault="008A2F48">
            <w:pPr>
              <w:tabs>
                <w:tab w:val="left" w:pos="708"/>
                <w:tab w:val="left" w:pos="1416"/>
                <w:tab w:val="left" w:pos="2124"/>
              </w:tabs>
              <w:jc w:val="both"/>
            </w:pPr>
            <w:r>
              <w:rPr>
                <w:rStyle w:val="Ninguno"/>
                <w:rFonts w:ascii="Helvetica Neue" w:hAnsi="Helvetica Neue" w:cs="Arial Unicode MS"/>
                <w:b/>
                <w:bCs/>
                <w:color w:val="000000"/>
                <w:sz w:val="20"/>
                <w:szCs w:val="20"/>
                <w:u w:color="000000"/>
                <w14:textOutline w14:w="12700" w14:cap="flat" w14:cmpd="sng" w14:algn="ctr">
                  <w14:noFill/>
                  <w14:prstDash w14:val="solid"/>
                  <w14:miter w14:lim="400000"/>
                </w14:textOutline>
              </w:rPr>
              <w:lastRenderedPageBreak/>
              <w:t>EFECTOS DE LA SENTENCIA</w:t>
            </w:r>
          </w:p>
        </w:tc>
        <w:tc>
          <w:tcPr>
            <w:tcW w:w="311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6CA7611" w14:textId="77777777" w:rsidR="009F697D" w:rsidRDefault="008A2F48">
            <w:pPr>
              <w:numPr>
                <w:ilvl w:val="0"/>
                <w:numId w:val="2"/>
              </w:numPr>
              <w:jc w:val="both"/>
              <w:rPr>
                <w:rFonts w:ascii="Helvetica Neue" w:hAnsi="Helvetica Neue" w:cs="Arial Unicode MS"/>
                <w:color w:val="000000"/>
                <w:sz w:val="20"/>
                <w:szCs w:val="20"/>
                <w:u w:color="000000"/>
                <w:lang w:val="es-ES_tradnl"/>
                <w14:textOutline w14:w="0" w14:cap="flat" w14:cmpd="sng" w14:algn="ctr">
                  <w14:noFill/>
                  <w14:prstDash w14:val="solid"/>
                  <w14:bevel/>
                </w14:textOutline>
              </w:rPr>
            </w:pPr>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 Si prospera el recurso: la sala anulará en lo pertinente la providencia recurrida y dictará la que deba reemplazarla o adoptará las decisiones que correspondan. Si el recurso es desestimado, se condenará en costas al recurrente. </w:t>
            </w:r>
          </w:p>
          <w:p w14:paraId="40203781" w14:textId="77777777" w:rsidR="009F697D" w:rsidRDefault="008A2F48">
            <w:pPr>
              <w:numPr>
                <w:ilvl w:val="0"/>
                <w:numId w:val="2"/>
              </w:numPr>
              <w:jc w:val="both"/>
              <w:rPr>
                <w:rFonts w:ascii="Helvetica Neue" w:hAnsi="Helvetica Neue" w:cs="Arial Unicode MS"/>
                <w:color w:val="000000"/>
                <w:sz w:val="20"/>
                <w:szCs w:val="20"/>
                <w:u w:color="000000"/>
                <w:lang w:val="es-ES_tradnl"/>
                <w14:textOutline w14:w="0" w14:cap="flat" w14:cmpd="sng" w14:algn="ctr">
                  <w14:noFill/>
                  <w14:prstDash w14:val="solid"/>
                  <w14:bevel/>
                </w14:textOutline>
              </w:rPr>
            </w:pPr>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Cuando el Consejo de Estado anule una providencia que se cumplió en forma total o parcial, declarará sin efectos los actos procesales realizados con tal fin, y dispondrá que el juez de primera instancia o única instancia proceda a las restituciones y adopte las medidas a que hubiere lugar. </w:t>
            </w:r>
          </w:p>
          <w:p w14:paraId="2EFE14B9" w14:textId="77777777" w:rsidR="009F697D" w:rsidRDefault="008A2F48">
            <w:pPr>
              <w:numPr>
                <w:ilvl w:val="0"/>
                <w:numId w:val="2"/>
              </w:numPr>
              <w:jc w:val="both"/>
              <w:rPr>
                <w:rFonts w:ascii="Helvetica Neue" w:hAnsi="Helvetica Neue" w:cs="Arial Unicode MS"/>
                <w:color w:val="000000"/>
                <w:sz w:val="20"/>
                <w:szCs w:val="20"/>
                <w:u w:color="000000"/>
                <w:lang w:val="es-ES_tradnl"/>
                <w14:textOutline w14:w="0" w14:cap="flat" w14:cmpd="sng" w14:algn="ctr">
                  <w14:noFill/>
                  <w14:prstDash w14:val="solid"/>
                  <w14:bevel/>
                </w14:textOutline>
              </w:rPr>
            </w:pPr>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 El Consejo de Estado ordenará al tribunal que en el auto de obedecimiento a lo resuelto por el superior cancele la caución de que trata el artículo 264 del CPACA.</w:t>
            </w:r>
          </w:p>
          <w:p w14:paraId="646DD446" w14:textId="77777777" w:rsidR="009F697D" w:rsidRDefault="008A2F48">
            <w:pPr>
              <w:numPr>
                <w:ilvl w:val="0"/>
                <w:numId w:val="2"/>
              </w:numPr>
              <w:jc w:val="both"/>
              <w:rPr>
                <w:rFonts w:ascii="Helvetica Neue" w:hAnsi="Helvetica Neue" w:cs="Arial Unicode MS"/>
                <w:color w:val="000000"/>
                <w:sz w:val="20"/>
                <w:szCs w:val="20"/>
                <w:u w:color="000000"/>
                <w:lang w:val="es-ES_tradnl"/>
                <w14:textOutline w14:w="0" w14:cap="flat" w14:cmpd="sng" w14:algn="ctr">
                  <w14:noFill/>
                  <w14:prstDash w14:val="solid"/>
                  <w14:bevel/>
                </w14:textOutline>
              </w:rPr>
            </w:pPr>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Si el recurso no prospera la caución seguirá respondiendo por los perjuicios causados, los cuales se </w:t>
            </w:r>
            <w:proofErr w:type="gramStart"/>
            <w:r>
              <w:rPr>
                <w:rStyle w:val="Ninguno"/>
                <w:rFonts w:ascii="Helvetica Neue" w:hAnsi="Helvetica Neue" w:cs="Arial Unicode MS"/>
                <w:color w:val="000000"/>
                <w:sz w:val="20"/>
                <w:szCs w:val="20"/>
                <w:u w:color="000000"/>
                <w14:textOutline w14:w="0" w14:cap="flat" w14:cmpd="sng" w14:algn="ctr">
                  <w14:noFill/>
                  <w14:prstDash w14:val="solid"/>
                  <w14:bevel/>
                </w14:textOutline>
              </w:rPr>
              <w:t>liquidaran</w:t>
            </w:r>
            <w:proofErr w:type="gramEnd"/>
            <w:r>
              <w:rPr>
                <w:rStyle w:val="Ninguno"/>
                <w:rFonts w:ascii="Helvetica Neue" w:hAnsi="Helvetica Neue" w:cs="Arial Unicode MS"/>
                <w:color w:val="000000"/>
                <w:sz w:val="20"/>
                <w:szCs w:val="20"/>
                <w:u w:color="000000"/>
                <w14:textOutline w14:w="0" w14:cap="flat" w14:cmpd="sng" w14:algn="ctr">
                  <w14:noFill/>
                  <w14:prstDash w14:val="solid"/>
                  <w14:bevel/>
                </w14:textOutline>
              </w:rPr>
              <w:t xml:space="preserve"> y aprobaran ante el juez de primera instancia mediante incidente.  </w:t>
            </w:r>
          </w:p>
        </w:tc>
        <w:tc>
          <w:tcPr>
            <w:tcW w:w="294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2E37A23" w14:textId="52914E18" w:rsidR="00956EF5" w:rsidRDefault="00956EF5">
            <w:proofErr w:type="spellStart"/>
            <w:r>
              <w:t>Incluye</w:t>
            </w:r>
            <w:proofErr w:type="spellEnd"/>
            <w:r>
              <w:t xml:space="preserve"> la </w:t>
            </w:r>
            <w:proofErr w:type="spellStart"/>
            <w:r>
              <w:t>orden</w:t>
            </w:r>
            <w:proofErr w:type="spellEnd"/>
            <w:r>
              <w:t xml:space="preserve"> al </w:t>
            </w:r>
            <w:proofErr w:type="spellStart"/>
            <w:r>
              <w:t>juez</w:t>
            </w:r>
            <w:proofErr w:type="spellEnd"/>
            <w:r>
              <w:t xml:space="preserve"> de </w:t>
            </w:r>
            <w:proofErr w:type="spellStart"/>
            <w:r>
              <w:t>única</w:t>
            </w:r>
            <w:proofErr w:type="spellEnd"/>
            <w:r>
              <w:t xml:space="preserve"> </w:t>
            </w:r>
            <w:proofErr w:type="spellStart"/>
            <w:r>
              <w:t>instancia</w:t>
            </w:r>
            <w:proofErr w:type="spellEnd"/>
            <w:r>
              <w:t xml:space="preserve"> para </w:t>
            </w:r>
            <w:proofErr w:type="spellStart"/>
            <w:r>
              <w:t>proceder</w:t>
            </w:r>
            <w:proofErr w:type="spellEnd"/>
            <w:r>
              <w:t xml:space="preserve"> a las </w:t>
            </w:r>
            <w:proofErr w:type="spellStart"/>
            <w:r>
              <w:t>restituciones</w:t>
            </w:r>
            <w:proofErr w:type="spellEnd"/>
            <w:r>
              <w:t xml:space="preserve"> y </w:t>
            </w:r>
            <w:proofErr w:type="spellStart"/>
            <w:r>
              <w:t>adoptar</w:t>
            </w:r>
            <w:proofErr w:type="spellEnd"/>
            <w:r>
              <w:t xml:space="preserve"> las </w:t>
            </w:r>
            <w:proofErr w:type="spellStart"/>
            <w:r>
              <w:t>medidas</w:t>
            </w:r>
            <w:proofErr w:type="spellEnd"/>
            <w:r>
              <w:t xml:space="preserve"> a que </w:t>
            </w:r>
            <w:proofErr w:type="spellStart"/>
            <w:r>
              <w:t>hubiere</w:t>
            </w:r>
            <w:proofErr w:type="spellEnd"/>
            <w:r>
              <w:t xml:space="preserve"> </w:t>
            </w:r>
            <w:proofErr w:type="spellStart"/>
            <w:r>
              <w:t>lugar</w:t>
            </w:r>
            <w:proofErr w:type="spellEnd"/>
            <w:r>
              <w:t xml:space="preserve">. </w:t>
            </w:r>
          </w:p>
          <w:p w14:paraId="4450396A" w14:textId="77777777" w:rsidR="009F697D" w:rsidRDefault="00956EF5">
            <w:proofErr w:type="spellStart"/>
            <w:r>
              <w:t>Además</w:t>
            </w:r>
            <w:proofErr w:type="spellEnd"/>
            <w:r>
              <w:t xml:space="preserve"> </w:t>
            </w:r>
            <w:proofErr w:type="spellStart"/>
            <w:r>
              <w:t>el</w:t>
            </w:r>
            <w:proofErr w:type="spellEnd"/>
            <w:r>
              <w:t xml:space="preserve"> </w:t>
            </w:r>
            <w:proofErr w:type="spellStart"/>
            <w:r>
              <w:t>Consejo</w:t>
            </w:r>
            <w:proofErr w:type="spellEnd"/>
            <w:r>
              <w:t xml:space="preserve"> de Estado </w:t>
            </w:r>
            <w:proofErr w:type="spellStart"/>
            <w:r>
              <w:t>ordenará</w:t>
            </w:r>
            <w:proofErr w:type="spellEnd"/>
            <w:r>
              <w:t xml:space="preserve"> que </w:t>
            </w:r>
            <w:proofErr w:type="spellStart"/>
            <w:r>
              <w:t>en</w:t>
            </w:r>
            <w:proofErr w:type="spellEnd"/>
            <w:r>
              <w:t xml:space="preserve"> </w:t>
            </w:r>
            <w:proofErr w:type="spellStart"/>
            <w:r>
              <w:t>el</w:t>
            </w:r>
            <w:proofErr w:type="spellEnd"/>
            <w:r>
              <w:t xml:space="preserve"> auto de </w:t>
            </w:r>
            <w:proofErr w:type="spellStart"/>
            <w:r>
              <w:t>obedecimiento</w:t>
            </w:r>
            <w:proofErr w:type="spellEnd"/>
            <w:r>
              <w:t xml:space="preserve"> a lo </w:t>
            </w:r>
            <w:proofErr w:type="spellStart"/>
            <w:r>
              <w:t>resuelto</w:t>
            </w:r>
            <w:proofErr w:type="spellEnd"/>
            <w:r>
              <w:t xml:space="preserve"> </w:t>
            </w:r>
            <w:proofErr w:type="spellStart"/>
            <w:r>
              <w:t>en</w:t>
            </w:r>
            <w:proofErr w:type="spellEnd"/>
            <w:r>
              <w:t xml:space="preserve"> </w:t>
            </w:r>
            <w:proofErr w:type="spellStart"/>
            <w:r>
              <w:t>el</w:t>
            </w:r>
            <w:proofErr w:type="spellEnd"/>
            <w:r>
              <w:t xml:space="preserve"> </w:t>
            </w:r>
            <w:proofErr w:type="spellStart"/>
            <w:r>
              <w:t>recurso</w:t>
            </w:r>
            <w:proofErr w:type="spellEnd"/>
            <w:r>
              <w:t xml:space="preserve"> </w:t>
            </w:r>
            <w:proofErr w:type="spellStart"/>
            <w:r>
              <w:t>extraordinario</w:t>
            </w:r>
            <w:proofErr w:type="spellEnd"/>
            <w:r>
              <w:t xml:space="preserve"> se </w:t>
            </w:r>
            <w:proofErr w:type="spellStart"/>
            <w:r>
              <w:t>cancele</w:t>
            </w:r>
            <w:proofErr w:type="spellEnd"/>
            <w:r>
              <w:t xml:space="preserve"> la </w:t>
            </w:r>
            <w:proofErr w:type="spellStart"/>
            <w:r>
              <w:t>caución</w:t>
            </w:r>
            <w:proofErr w:type="spellEnd"/>
            <w:r>
              <w:t>.</w:t>
            </w:r>
          </w:p>
          <w:p w14:paraId="64755DD0" w14:textId="67507BF3" w:rsidR="00956EF5" w:rsidRDefault="00956EF5">
            <w:r>
              <w:t xml:space="preserve">Si </w:t>
            </w:r>
            <w:proofErr w:type="spellStart"/>
            <w:r>
              <w:t>el</w:t>
            </w:r>
            <w:proofErr w:type="spellEnd"/>
            <w:r>
              <w:t xml:space="preserve"> </w:t>
            </w:r>
            <w:proofErr w:type="spellStart"/>
            <w:r>
              <w:t>recurso</w:t>
            </w:r>
            <w:proofErr w:type="spellEnd"/>
            <w:r>
              <w:t xml:space="preserve"> de </w:t>
            </w:r>
            <w:proofErr w:type="spellStart"/>
            <w:r>
              <w:t>unificación</w:t>
            </w:r>
            <w:proofErr w:type="spellEnd"/>
            <w:r>
              <w:t xml:space="preserve"> de </w:t>
            </w:r>
            <w:proofErr w:type="spellStart"/>
            <w:r>
              <w:t>jurisprudencia</w:t>
            </w:r>
            <w:proofErr w:type="spellEnd"/>
            <w:r>
              <w:t xml:space="preserve"> no </w:t>
            </w:r>
            <w:proofErr w:type="spellStart"/>
            <w:r>
              <w:t>prospera</w:t>
            </w:r>
            <w:proofErr w:type="spellEnd"/>
            <w:r>
              <w:t xml:space="preserve">, la </w:t>
            </w:r>
            <w:proofErr w:type="spellStart"/>
            <w:r>
              <w:t>caución</w:t>
            </w:r>
            <w:proofErr w:type="spellEnd"/>
            <w:r>
              <w:t xml:space="preserve"> </w:t>
            </w:r>
            <w:proofErr w:type="spellStart"/>
            <w:r>
              <w:t>seguirá</w:t>
            </w:r>
            <w:proofErr w:type="spellEnd"/>
            <w:r>
              <w:t xml:space="preserve"> </w:t>
            </w:r>
            <w:proofErr w:type="spellStart"/>
            <w:r>
              <w:t>amparando</w:t>
            </w:r>
            <w:proofErr w:type="spellEnd"/>
            <w:r>
              <w:t xml:space="preserve"> los </w:t>
            </w:r>
            <w:proofErr w:type="spellStart"/>
            <w:r>
              <w:t>perjuicios</w:t>
            </w:r>
            <w:proofErr w:type="spellEnd"/>
            <w:r>
              <w:t xml:space="preserve"> </w:t>
            </w:r>
            <w:proofErr w:type="spellStart"/>
            <w:r>
              <w:t>causados</w:t>
            </w:r>
            <w:proofErr w:type="spellEnd"/>
            <w:r>
              <w:t xml:space="preserve">, los </w:t>
            </w:r>
            <w:proofErr w:type="spellStart"/>
            <w:r>
              <w:t>cuales</w:t>
            </w:r>
            <w:proofErr w:type="spellEnd"/>
            <w:r>
              <w:t xml:space="preserve"> se </w:t>
            </w:r>
            <w:proofErr w:type="spellStart"/>
            <w:r>
              <w:t>liquidarán</w:t>
            </w:r>
            <w:proofErr w:type="spellEnd"/>
            <w:r>
              <w:t xml:space="preserve"> y </w:t>
            </w:r>
            <w:proofErr w:type="spellStart"/>
            <w:r>
              <w:t>aprobarán</w:t>
            </w:r>
            <w:proofErr w:type="spellEnd"/>
            <w:r>
              <w:t xml:space="preserve"> </w:t>
            </w:r>
            <w:proofErr w:type="spellStart"/>
            <w:r>
              <w:t>mediante</w:t>
            </w:r>
            <w:proofErr w:type="spellEnd"/>
            <w:r>
              <w:t xml:space="preserve"> </w:t>
            </w:r>
            <w:proofErr w:type="spellStart"/>
            <w:r>
              <w:t>incidente</w:t>
            </w:r>
            <w:proofErr w:type="spellEnd"/>
            <w:r>
              <w:t xml:space="preserve">, ante </w:t>
            </w:r>
            <w:proofErr w:type="spellStart"/>
            <w:r>
              <w:t>el</w:t>
            </w:r>
            <w:proofErr w:type="spellEnd"/>
            <w:r>
              <w:t xml:space="preserve"> </w:t>
            </w:r>
            <w:proofErr w:type="spellStart"/>
            <w:r>
              <w:t>despacho</w:t>
            </w:r>
            <w:proofErr w:type="spellEnd"/>
            <w:r>
              <w:t xml:space="preserve"> de </w:t>
            </w:r>
            <w:proofErr w:type="spellStart"/>
            <w:r>
              <w:t>primera</w:t>
            </w:r>
            <w:proofErr w:type="spellEnd"/>
            <w:r>
              <w:t xml:space="preserve"> o </w:t>
            </w:r>
            <w:proofErr w:type="spellStart"/>
            <w:r>
              <w:t>única</w:t>
            </w:r>
            <w:proofErr w:type="spellEnd"/>
            <w:r>
              <w:t xml:space="preserve"> </w:t>
            </w:r>
            <w:proofErr w:type="spellStart"/>
            <w:r>
              <w:t>instancia</w:t>
            </w:r>
            <w:proofErr w:type="spellEnd"/>
            <w:r>
              <w:t xml:space="preserve">, </w:t>
            </w:r>
            <w:proofErr w:type="spellStart"/>
            <w:r>
              <w:t>según</w:t>
            </w:r>
            <w:proofErr w:type="spellEnd"/>
            <w:r>
              <w:t xml:space="preserve"> </w:t>
            </w:r>
            <w:proofErr w:type="spellStart"/>
            <w:r>
              <w:t>el</w:t>
            </w:r>
            <w:proofErr w:type="spellEnd"/>
            <w:r>
              <w:t xml:space="preserve"> </w:t>
            </w:r>
            <w:proofErr w:type="spellStart"/>
            <w:r>
              <w:t>caso</w:t>
            </w:r>
            <w:proofErr w:type="spellEnd"/>
            <w:r>
              <w:t>.</w:t>
            </w:r>
          </w:p>
        </w:tc>
      </w:tr>
      <w:tr w:rsidR="009F697D" w14:paraId="7A518B6A" w14:textId="77777777">
        <w:tblPrEx>
          <w:shd w:val="clear" w:color="auto" w:fill="CDD4E9"/>
        </w:tblPrEx>
        <w:trPr>
          <w:trHeight w:val="5524"/>
        </w:trPr>
        <w:tc>
          <w:tcPr>
            <w:tcW w:w="2506"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1303754" w14:textId="77777777" w:rsidR="009F697D" w:rsidRDefault="008A2F48">
            <w:pPr>
              <w:tabs>
                <w:tab w:val="left" w:pos="708"/>
                <w:tab w:val="left" w:pos="1416"/>
                <w:tab w:val="left" w:pos="2124"/>
              </w:tabs>
              <w:jc w:val="both"/>
            </w:pPr>
            <w:r>
              <w:rPr>
                <w:rStyle w:val="Ninguno"/>
                <w:rFonts w:ascii="Helvetica Neue" w:hAnsi="Helvetica Neue" w:cs="Arial Unicode MS"/>
                <w:b/>
                <w:bCs/>
                <w:color w:val="000000"/>
                <w:sz w:val="20"/>
                <w:szCs w:val="20"/>
                <w:u w:color="000000"/>
                <w14:textOutline w14:w="12700" w14:cap="flat" w14:cmpd="sng" w14:algn="ctr">
                  <w14:noFill/>
                  <w14:prstDash w14:val="solid"/>
                  <w14:miter w14:lim="400000"/>
                </w14:textOutline>
              </w:rPr>
              <w:lastRenderedPageBreak/>
              <w:t xml:space="preserve">DESISTIMIENTO </w:t>
            </w:r>
          </w:p>
        </w:tc>
        <w:tc>
          <w:tcPr>
            <w:tcW w:w="3119"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C792D7" w14:textId="77777777" w:rsidR="009F697D" w:rsidRDefault="008A2F48">
            <w:pPr>
              <w:pStyle w:val="Cuerpo"/>
              <w:tabs>
                <w:tab w:val="left" w:pos="708"/>
                <w:tab w:val="left" w:pos="1416"/>
                <w:tab w:val="left" w:pos="2124"/>
                <w:tab w:val="left" w:pos="2832"/>
              </w:tabs>
              <w:jc w:val="both"/>
              <w:rPr>
                <w:rStyle w:val="Ninguno"/>
                <w:sz w:val="20"/>
                <w:szCs w:val="20"/>
                <w:u w:color="000000"/>
              </w:rPr>
            </w:pPr>
            <w:r>
              <w:rPr>
                <w:rStyle w:val="Ninguno"/>
                <w:sz w:val="20"/>
                <w:szCs w:val="20"/>
                <w:u w:color="000000"/>
              </w:rPr>
              <w:t xml:space="preserve">El recurrente podrá desistir del recurso mientras no se haya dictado resolución judicial que ponga fin al mismo. si el desistimiento sólo proviene de alguno de los recurrentes, el recurso continuará respecto de las personas no comprendidas en el desistimiento. </w:t>
            </w:r>
          </w:p>
          <w:p w14:paraId="40592FBA" w14:textId="77777777" w:rsidR="009F697D" w:rsidRDefault="009F697D">
            <w:pPr>
              <w:pStyle w:val="Cuerpo"/>
              <w:tabs>
                <w:tab w:val="left" w:pos="708"/>
                <w:tab w:val="left" w:pos="1416"/>
                <w:tab w:val="left" w:pos="2124"/>
                <w:tab w:val="left" w:pos="2832"/>
              </w:tabs>
              <w:jc w:val="both"/>
              <w:rPr>
                <w:rStyle w:val="Ninguno"/>
                <w:sz w:val="20"/>
                <w:szCs w:val="20"/>
                <w:u w:color="000000"/>
              </w:rPr>
            </w:pPr>
          </w:p>
          <w:p w14:paraId="3888C272" w14:textId="77777777" w:rsidR="009F697D" w:rsidRDefault="008A2F48">
            <w:pPr>
              <w:pStyle w:val="Cuerpo"/>
              <w:tabs>
                <w:tab w:val="left" w:pos="708"/>
                <w:tab w:val="left" w:pos="1416"/>
                <w:tab w:val="left" w:pos="2124"/>
                <w:tab w:val="left" w:pos="2832"/>
              </w:tabs>
              <w:jc w:val="both"/>
              <w:rPr>
                <w:rStyle w:val="Ninguno"/>
                <w:sz w:val="20"/>
                <w:szCs w:val="20"/>
                <w:u w:color="000000"/>
              </w:rPr>
            </w:pPr>
            <w:r>
              <w:rPr>
                <w:rStyle w:val="Ninguno"/>
                <w:sz w:val="20"/>
                <w:szCs w:val="20"/>
                <w:u w:color="000000"/>
              </w:rPr>
              <w:t xml:space="preserve">El desistimiento debe ser incondicional salvo acuerdo de las partes y solo perjudica a los solicitantes y a sus causahabientes. </w:t>
            </w:r>
          </w:p>
          <w:p w14:paraId="71985B04" w14:textId="77777777" w:rsidR="009F697D" w:rsidRDefault="009F697D">
            <w:pPr>
              <w:pStyle w:val="Cuerpo"/>
              <w:tabs>
                <w:tab w:val="left" w:pos="708"/>
                <w:tab w:val="left" w:pos="1416"/>
                <w:tab w:val="left" w:pos="2124"/>
                <w:tab w:val="left" w:pos="2832"/>
              </w:tabs>
              <w:jc w:val="both"/>
              <w:rPr>
                <w:rStyle w:val="Ninguno"/>
                <w:sz w:val="20"/>
                <w:szCs w:val="20"/>
                <w:u w:color="000000"/>
              </w:rPr>
            </w:pPr>
          </w:p>
          <w:p w14:paraId="7CE88CDB" w14:textId="77777777" w:rsidR="009F697D" w:rsidRDefault="008A2F48">
            <w:pPr>
              <w:pStyle w:val="Cuerpo"/>
              <w:tabs>
                <w:tab w:val="left" w:pos="708"/>
                <w:tab w:val="left" w:pos="1416"/>
                <w:tab w:val="left" w:pos="2124"/>
                <w:tab w:val="left" w:pos="2832"/>
              </w:tabs>
              <w:jc w:val="both"/>
            </w:pPr>
            <w:r>
              <w:rPr>
                <w:rStyle w:val="Ninguno"/>
                <w:sz w:val="20"/>
                <w:szCs w:val="20"/>
                <w:u w:color="000000"/>
              </w:rPr>
              <w:t xml:space="preserve">El desistimiento se presenta personalmente y cuando se acepta se condena en costas a quien desistió, salvo que se interponga ante el tribunal antes de haberse enviado al consejo de Estado. </w:t>
            </w:r>
          </w:p>
        </w:tc>
        <w:tc>
          <w:tcPr>
            <w:tcW w:w="294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74AA2C3" w14:textId="571E75E8" w:rsidR="004E2809" w:rsidRDefault="004E2809">
            <w:r>
              <w:t xml:space="preserve">A la </w:t>
            </w:r>
            <w:proofErr w:type="spellStart"/>
            <w:r>
              <w:t>solicitud</w:t>
            </w:r>
            <w:proofErr w:type="spellEnd"/>
            <w:r>
              <w:t xml:space="preserve"> le </w:t>
            </w:r>
            <w:proofErr w:type="spellStart"/>
            <w:r>
              <w:t>serán</w:t>
            </w:r>
            <w:proofErr w:type="spellEnd"/>
            <w:r>
              <w:t xml:space="preserve"> </w:t>
            </w:r>
            <w:proofErr w:type="spellStart"/>
            <w:r>
              <w:t>aplicables</w:t>
            </w:r>
            <w:proofErr w:type="spellEnd"/>
            <w:r>
              <w:t xml:space="preserve"> las </w:t>
            </w:r>
            <w:proofErr w:type="spellStart"/>
            <w:r>
              <w:t>disposiciones</w:t>
            </w:r>
            <w:proofErr w:type="spellEnd"/>
            <w:r>
              <w:t xml:space="preserve"> </w:t>
            </w:r>
            <w:proofErr w:type="spellStart"/>
            <w:r>
              <w:t>contenidas</w:t>
            </w:r>
            <w:proofErr w:type="spellEnd"/>
            <w:r>
              <w:t xml:space="preserve"> </w:t>
            </w:r>
            <w:proofErr w:type="spellStart"/>
            <w:r>
              <w:t>en</w:t>
            </w:r>
            <w:proofErr w:type="spellEnd"/>
            <w:r>
              <w:t xml:space="preserve"> </w:t>
            </w:r>
            <w:proofErr w:type="spellStart"/>
            <w:r>
              <w:t>el</w:t>
            </w:r>
            <w:proofErr w:type="spellEnd"/>
            <w:r>
              <w:t xml:space="preserve"> </w:t>
            </w:r>
            <w:proofErr w:type="spellStart"/>
            <w:r>
              <w:t>artículo</w:t>
            </w:r>
            <w:proofErr w:type="spellEnd"/>
            <w:r>
              <w:t xml:space="preserve"> 316 del Código General del </w:t>
            </w:r>
            <w:proofErr w:type="spellStart"/>
            <w:r>
              <w:t>Proceso</w:t>
            </w:r>
            <w:proofErr w:type="spellEnd"/>
            <w:r>
              <w:t xml:space="preserve">, </w:t>
            </w:r>
            <w:proofErr w:type="spellStart"/>
            <w:r>
              <w:t>en</w:t>
            </w:r>
            <w:proofErr w:type="spellEnd"/>
            <w:r>
              <w:t xml:space="preserve"> lo </w:t>
            </w:r>
            <w:proofErr w:type="spellStart"/>
            <w:r>
              <w:t>pertinente,incluida</w:t>
            </w:r>
            <w:proofErr w:type="spellEnd"/>
            <w:r>
              <w:t xml:space="preserve"> la </w:t>
            </w:r>
            <w:proofErr w:type="spellStart"/>
            <w:r>
              <w:t>condena</w:t>
            </w:r>
            <w:proofErr w:type="spellEnd"/>
            <w:r>
              <w:t xml:space="preserve"> </w:t>
            </w:r>
            <w:proofErr w:type="spellStart"/>
            <w:r>
              <w:t>en</w:t>
            </w:r>
            <w:proofErr w:type="spellEnd"/>
            <w:r>
              <w:t xml:space="preserve"> </w:t>
            </w:r>
            <w:proofErr w:type="spellStart"/>
            <w:r>
              <w:t>costas</w:t>
            </w:r>
            <w:proofErr w:type="spellEnd"/>
            <w:r>
              <w:t>.</w:t>
            </w:r>
          </w:p>
          <w:p w14:paraId="007096B0" w14:textId="0776E562" w:rsidR="009F697D" w:rsidRDefault="004E2809">
            <w:proofErr w:type="spellStart"/>
            <w:r>
              <w:t>Cuando</w:t>
            </w:r>
            <w:proofErr w:type="spellEnd"/>
            <w:r>
              <w:t xml:space="preserve"> </w:t>
            </w:r>
            <w:proofErr w:type="spellStart"/>
            <w:r>
              <w:t>el</w:t>
            </w:r>
            <w:proofErr w:type="spellEnd"/>
            <w:r>
              <w:t xml:space="preserve"> </w:t>
            </w:r>
            <w:proofErr w:type="spellStart"/>
            <w:r>
              <w:t>recurrente</w:t>
            </w:r>
            <w:proofErr w:type="spellEnd"/>
            <w:r>
              <w:t xml:space="preserve"> sea una </w:t>
            </w:r>
            <w:proofErr w:type="spellStart"/>
            <w:r>
              <w:t>entidad</w:t>
            </w:r>
            <w:proofErr w:type="spellEnd"/>
            <w:r>
              <w:t xml:space="preserve">, </w:t>
            </w:r>
            <w:proofErr w:type="spellStart"/>
            <w:r>
              <w:t>órgano</w:t>
            </w:r>
            <w:proofErr w:type="spellEnd"/>
            <w:r>
              <w:t xml:space="preserve"> u organism </w:t>
            </w:r>
            <w:proofErr w:type="spellStart"/>
            <w:r>
              <w:t>estatal</w:t>
            </w:r>
            <w:proofErr w:type="spellEnd"/>
            <w:r>
              <w:t xml:space="preserve">, </w:t>
            </w:r>
            <w:proofErr w:type="spellStart"/>
            <w:r>
              <w:t>el</w:t>
            </w:r>
            <w:proofErr w:type="spellEnd"/>
            <w:r>
              <w:t xml:space="preserve"> </w:t>
            </w:r>
            <w:proofErr w:type="spellStart"/>
            <w:r>
              <w:t>deisstimiento</w:t>
            </w:r>
            <w:proofErr w:type="spellEnd"/>
            <w:r>
              <w:t xml:space="preserve"> </w:t>
            </w:r>
            <w:proofErr w:type="spellStart"/>
            <w:r>
              <w:t>deberá</w:t>
            </w:r>
            <w:proofErr w:type="spellEnd"/>
            <w:r>
              <w:t xml:space="preserve"> </w:t>
            </w:r>
            <w:proofErr w:type="spellStart"/>
            <w:r>
              <w:t>estar</w:t>
            </w:r>
            <w:proofErr w:type="spellEnd"/>
            <w:r>
              <w:t xml:space="preserve"> </w:t>
            </w:r>
            <w:proofErr w:type="spellStart"/>
            <w:r>
              <w:t>suscrito</w:t>
            </w:r>
            <w:proofErr w:type="spellEnd"/>
            <w:r>
              <w:t xml:space="preserve"> por </w:t>
            </w:r>
            <w:proofErr w:type="spellStart"/>
            <w:r>
              <w:t>el</w:t>
            </w:r>
            <w:proofErr w:type="spellEnd"/>
            <w:r>
              <w:t xml:space="preserve"> </w:t>
            </w:r>
            <w:proofErr w:type="spellStart"/>
            <w:r>
              <w:t>apoderado</w:t>
            </w:r>
            <w:proofErr w:type="spellEnd"/>
            <w:r>
              <w:t xml:space="preserve"> judicial con </w:t>
            </w:r>
            <w:proofErr w:type="spellStart"/>
            <w:r>
              <w:t>autorización</w:t>
            </w:r>
            <w:proofErr w:type="spellEnd"/>
            <w:r>
              <w:t xml:space="preserve"> previa y </w:t>
            </w:r>
            <w:proofErr w:type="spellStart"/>
            <w:r>
              <w:t>escrita</w:t>
            </w:r>
            <w:proofErr w:type="spellEnd"/>
            <w:r>
              <w:t xml:space="preserve"> de </w:t>
            </w:r>
            <w:proofErr w:type="spellStart"/>
            <w:r>
              <w:t>su</w:t>
            </w:r>
            <w:proofErr w:type="spellEnd"/>
            <w:r>
              <w:t xml:space="preserve"> </w:t>
            </w:r>
            <w:proofErr w:type="spellStart"/>
            <w:r>
              <w:t>representante</w:t>
            </w:r>
            <w:proofErr w:type="spellEnd"/>
            <w:r>
              <w:t xml:space="preserve">, </w:t>
            </w:r>
            <w:proofErr w:type="spellStart"/>
            <w:r>
              <w:t>debidamenteacreditado</w:t>
            </w:r>
            <w:proofErr w:type="spellEnd"/>
            <w:r>
              <w:t xml:space="preserve">, </w:t>
            </w:r>
            <w:proofErr w:type="spellStart"/>
            <w:r>
              <w:t>según</w:t>
            </w:r>
            <w:proofErr w:type="spellEnd"/>
            <w:r>
              <w:t xml:space="preserve"> lo </w:t>
            </w:r>
            <w:proofErr w:type="spellStart"/>
            <w:r>
              <w:t>previsto</w:t>
            </w:r>
            <w:proofErr w:type="spellEnd"/>
            <w:r>
              <w:t xml:space="preserve"> </w:t>
            </w:r>
            <w:proofErr w:type="spellStart"/>
            <w:r>
              <w:t>en</w:t>
            </w:r>
            <w:proofErr w:type="spellEnd"/>
            <w:r>
              <w:t xml:space="preserve"> </w:t>
            </w:r>
            <w:proofErr w:type="spellStart"/>
            <w:r>
              <w:t>el</w:t>
            </w:r>
            <w:proofErr w:type="spellEnd"/>
            <w:r>
              <w:t xml:space="preserve"> </w:t>
            </w:r>
            <w:proofErr w:type="spellStart"/>
            <w:r>
              <w:t>artíuclo</w:t>
            </w:r>
            <w:proofErr w:type="spellEnd"/>
            <w:r>
              <w:t xml:space="preserve"> 159 de </w:t>
            </w:r>
            <w:proofErr w:type="spellStart"/>
            <w:r>
              <w:t>este</w:t>
            </w:r>
            <w:proofErr w:type="spellEnd"/>
            <w:r>
              <w:t xml:space="preserve"> Código.</w:t>
            </w:r>
          </w:p>
        </w:tc>
      </w:tr>
    </w:tbl>
    <w:p w14:paraId="255E6B87" w14:textId="77777777" w:rsidR="009F697D" w:rsidRDefault="009F697D">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u w:color="000000"/>
          <w14:textOutline w14:w="12700" w14:cap="flat" w14:cmpd="sng" w14:algn="ctr">
            <w14:noFill/>
            <w14:prstDash w14:val="solid"/>
            <w14:miter w14:lim="400000"/>
          </w14:textOutline>
        </w:rPr>
      </w:pPr>
    </w:p>
    <w:p w14:paraId="324FEF63" w14:textId="77777777" w:rsidR="009F697D" w:rsidRDefault="009F697D">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u w:color="000000"/>
          <w14:textOutline w14:w="12700" w14:cap="flat" w14:cmpd="sng" w14:algn="ctr">
            <w14:noFill/>
            <w14:prstDash w14:val="solid"/>
            <w14:miter w14:lim="400000"/>
          </w14:textOutline>
        </w:rPr>
      </w:pPr>
    </w:p>
    <w:p w14:paraId="3F9F7E89" w14:textId="77777777" w:rsidR="009F697D" w:rsidRDefault="009F697D">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pPr>
    </w:p>
    <w:sectPr w:rsidR="009F697D">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5AA7" w14:textId="77777777" w:rsidR="008A2F48" w:rsidRDefault="008A2F48">
      <w:r>
        <w:separator/>
      </w:r>
    </w:p>
  </w:endnote>
  <w:endnote w:type="continuationSeparator" w:id="0">
    <w:p w14:paraId="678C2205" w14:textId="77777777" w:rsidR="008A2F48" w:rsidRDefault="008A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9187" w14:textId="77777777" w:rsidR="008A2F48" w:rsidRDefault="008A2F48">
      <w:r>
        <w:separator/>
      </w:r>
    </w:p>
  </w:footnote>
  <w:footnote w:type="continuationSeparator" w:id="0">
    <w:p w14:paraId="6F0D5987" w14:textId="77777777" w:rsidR="008A2F48" w:rsidRDefault="008A2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92B9C"/>
    <w:multiLevelType w:val="hybridMultilevel"/>
    <w:tmpl w:val="6EB21CBA"/>
    <w:lvl w:ilvl="0" w:tplc="4A843E76">
      <w:start w:val="1"/>
      <w:numFmt w:val="bullet"/>
      <w:lvlText w:val="·"/>
      <w:lvlJc w:val="left"/>
      <w:pPr>
        <w:tabs>
          <w:tab w:val="left" w:pos="708"/>
          <w:tab w:val="left" w:pos="1416"/>
          <w:tab w:val="left" w:pos="2124"/>
          <w:tab w:val="left" w:pos="283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32B26A">
      <w:start w:val="1"/>
      <w:numFmt w:val="bullet"/>
      <w:lvlText w:val="o"/>
      <w:lvlJc w:val="left"/>
      <w:pPr>
        <w:tabs>
          <w:tab w:val="left" w:pos="708"/>
          <w:tab w:val="left" w:pos="1416"/>
          <w:tab w:val="left" w:pos="2124"/>
          <w:tab w:val="left" w:pos="2832"/>
        </w:tabs>
        <w:ind w:left="787"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020E80">
      <w:start w:val="1"/>
      <w:numFmt w:val="bullet"/>
      <w:lvlText w:val="▪"/>
      <w:lvlJc w:val="left"/>
      <w:pPr>
        <w:tabs>
          <w:tab w:val="left" w:pos="708"/>
          <w:tab w:val="left" w:pos="1416"/>
          <w:tab w:val="left" w:pos="2124"/>
          <w:tab w:val="left" w:pos="2832"/>
        </w:tabs>
        <w:ind w:left="1507"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FEEB0C">
      <w:start w:val="1"/>
      <w:numFmt w:val="bullet"/>
      <w:lvlText w:val="·"/>
      <w:lvlJc w:val="left"/>
      <w:pPr>
        <w:tabs>
          <w:tab w:val="left" w:pos="708"/>
          <w:tab w:val="left" w:pos="1416"/>
          <w:tab w:val="left" w:pos="2124"/>
          <w:tab w:val="left" w:pos="2832"/>
        </w:tabs>
        <w:ind w:left="2227"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40BB6A">
      <w:start w:val="1"/>
      <w:numFmt w:val="bullet"/>
      <w:lvlText w:val="o"/>
      <w:lvlJc w:val="left"/>
      <w:pPr>
        <w:tabs>
          <w:tab w:val="left" w:pos="708"/>
          <w:tab w:val="left" w:pos="1416"/>
          <w:tab w:val="left" w:pos="2124"/>
          <w:tab w:val="left" w:pos="2832"/>
        </w:tabs>
        <w:ind w:left="2947"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C47E48">
      <w:start w:val="1"/>
      <w:numFmt w:val="bullet"/>
      <w:lvlText w:val="▪"/>
      <w:lvlJc w:val="left"/>
      <w:pPr>
        <w:tabs>
          <w:tab w:val="left" w:pos="708"/>
          <w:tab w:val="left" w:pos="1416"/>
          <w:tab w:val="left" w:pos="2124"/>
          <w:tab w:val="left" w:pos="2832"/>
        </w:tabs>
        <w:ind w:left="3667"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2670A4">
      <w:start w:val="1"/>
      <w:numFmt w:val="bullet"/>
      <w:lvlText w:val="·"/>
      <w:lvlJc w:val="left"/>
      <w:pPr>
        <w:tabs>
          <w:tab w:val="left" w:pos="708"/>
          <w:tab w:val="left" w:pos="1416"/>
          <w:tab w:val="left" w:pos="2124"/>
          <w:tab w:val="left" w:pos="2832"/>
        </w:tabs>
        <w:ind w:left="4387"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D8F120">
      <w:start w:val="1"/>
      <w:numFmt w:val="bullet"/>
      <w:lvlText w:val="o"/>
      <w:lvlJc w:val="left"/>
      <w:pPr>
        <w:tabs>
          <w:tab w:val="left" w:pos="708"/>
          <w:tab w:val="left" w:pos="1416"/>
          <w:tab w:val="left" w:pos="2124"/>
          <w:tab w:val="left" w:pos="2832"/>
        </w:tabs>
        <w:ind w:left="5107"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947658">
      <w:start w:val="1"/>
      <w:numFmt w:val="bullet"/>
      <w:lvlText w:val="▪"/>
      <w:lvlJc w:val="left"/>
      <w:pPr>
        <w:tabs>
          <w:tab w:val="left" w:pos="708"/>
          <w:tab w:val="left" w:pos="1416"/>
          <w:tab w:val="left" w:pos="2124"/>
          <w:tab w:val="left" w:pos="2832"/>
        </w:tabs>
        <w:ind w:left="5827"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373191A"/>
    <w:multiLevelType w:val="hybridMultilevel"/>
    <w:tmpl w:val="51D025BC"/>
    <w:lvl w:ilvl="0" w:tplc="1B025E08">
      <w:start w:val="1"/>
      <w:numFmt w:val="bullet"/>
      <w:lvlText w:val="·"/>
      <w:lvlJc w:val="left"/>
      <w:pPr>
        <w:tabs>
          <w:tab w:val="left" w:pos="708"/>
          <w:tab w:val="left" w:pos="1416"/>
          <w:tab w:val="left" w:pos="2124"/>
          <w:tab w:val="left" w:pos="2832"/>
        </w:tabs>
        <w:ind w:left="153"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BC870C">
      <w:start w:val="1"/>
      <w:numFmt w:val="bullet"/>
      <w:lvlText w:val="o"/>
      <w:lvlJc w:val="left"/>
      <w:pPr>
        <w:tabs>
          <w:tab w:val="left" w:pos="708"/>
          <w:tab w:val="left" w:pos="1416"/>
          <w:tab w:val="left" w:pos="2124"/>
          <w:tab w:val="left" w:pos="2832"/>
        </w:tabs>
        <w:ind w:left="873"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FC3528">
      <w:start w:val="1"/>
      <w:numFmt w:val="bullet"/>
      <w:lvlText w:val="▪"/>
      <w:lvlJc w:val="left"/>
      <w:pPr>
        <w:tabs>
          <w:tab w:val="left" w:pos="708"/>
          <w:tab w:val="left" w:pos="1416"/>
          <w:tab w:val="left" w:pos="2124"/>
          <w:tab w:val="left" w:pos="2832"/>
        </w:tabs>
        <w:ind w:left="1593"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161072">
      <w:start w:val="1"/>
      <w:numFmt w:val="bullet"/>
      <w:lvlText w:val="·"/>
      <w:lvlJc w:val="left"/>
      <w:pPr>
        <w:tabs>
          <w:tab w:val="left" w:pos="708"/>
          <w:tab w:val="left" w:pos="1416"/>
          <w:tab w:val="left" w:pos="2124"/>
          <w:tab w:val="left" w:pos="2832"/>
        </w:tabs>
        <w:ind w:left="2313"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34A62E">
      <w:start w:val="1"/>
      <w:numFmt w:val="bullet"/>
      <w:lvlText w:val="o"/>
      <w:lvlJc w:val="left"/>
      <w:pPr>
        <w:tabs>
          <w:tab w:val="left" w:pos="708"/>
          <w:tab w:val="left" w:pos="1416"/>
          <w:tab w:val="left" w:pos="2124"/>
          <w:tab w:val="left" w:pos="2832"/>
        </w:tabs>
        <w:ind w:left="3033"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662C66">
      <w:start w:val="1"/>
      <w:numFmt w:val="bullet"/>
      <w:lvlText w:val="▪"/>
      <w:lvlJc w:val="left"/>
      <w:pPr>
        <w:tabs>
          <w:tab w:val="left" w:pos="708"/>
          <w:tab w:val="left" w:pos="1416"/>
          <w:tab w:val="left" w:pos="2124"/>
          <w:tab w:val="left" w:pos="2832"/>
        </w:tabs>
        <w:ind w:left="3753"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F08BDC">
      <w:start w:val="1"/>
      <w:numFmt w:val="bullet"/>
      <w:lvlText w:val="·"/>
      <w:lvlJc w:val="left"/>
      <w:pPr>
        <w:tabs>
          <w:tab w:val="left" w:pos="708"/>
          <w:tab w:val="left" w:pos="1416"/>
          <w:tab w:val="left" w:pos="2124"/>
          <w:tab w:val="left" w:pos="2832"/>
        </w:tabs>
        <w:ind w:left="4473"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3C1D04">
      <w:start w:val="1"/>
      <w:numFmt w:val="bullet"/>
      <w:lvlText w:val="o"/>
      <w:lvlJc w:val="left"/>
      <w:pPr>
        <w:tabs>
          <w:tab w:val="left" w:pos="708"/>
          <w:tab w:val="left" w:pos="1416"/>
          <w:tab w:val="left" w:pos="2124"/>
          <w:tab w:val="left" w:pos="2832"/>
        </w:tabs>
        <w:ind w:left="5193"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22963E">
      <w:start w:val="1"/>
      <w:numFmt w:val="bullet"/>
      <w:lvlText w:val="▪"/>
      <w:lvlJc w:val="left"/>
      <w:pPr>
        <w:tabs>
          <w:tab w:val="left" w:pos="708"/>
          <w:tab w:val="left" w:pos="1416"/>
          <w:tab w:val="left" w:pos="2124"/>
          <w:tab w:val="left" w:pos="2832"/>
        </w:tabs>
        <w:ind w:left="5913"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7D"/>
    <w:rsid w:val="004B2C4B"/>
    <w:rsid w:val="004E2809"/>
    <w:rsid w:val="00501464"/>
    <w:rsid w:val="0052240E"/>
    <w:rsid w:val="00641D69"/>
    <w:rsid w:val="006E07F3"/>
    <w:rsid w:val="008A2F48"/>
    <w:rsid w:val="00956EF5"/>
    <w:rsid w:val="009F697D"/>
    <w:rsid w:val="00AE2589"/>
    <w:rsid w:val="00B51B16"/>
    <w:rsid w:val="00CC6BCB"/>
    <w:rsid w:val="00D434A0"/>
    <w:rsid w:val="00D63F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D8C26E"/>
  <w15:docId w15:val="{97D19AB2-06A2-C346-8125-BED2967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CO"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redeterminado">
    <w:name w:val="Predeterminado"/>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customStyle="1" w:styleId="Ninguno">
    <w:name w:val="Ninguno"/>
    <w:rPr>
      <w:lang w:val="es-ES_tradnl"/>
    </w:r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4B2C4B"/>
    <w:pPr>
      <w:tabs>
        <w:tab w:val="center" w:pos="4252"/>
        <w:tab w:val="right" w:pos="8504"/>
      </w:tabs>
    </w:pPr>
  </w:style>
  <w:style w:type="character" w:customStyle="1" w:styleId="EncabezadoCar">
    <w:name w:val="Encabezado Car"/>
    <w:basedOn w:val="Fuentedeprrafopredeter"/>
    <w:link w:val="Encabezado"/>
    <w:uiPriority w:val="99"/>
    <w:rsid w:val="004B2C4B"/>
    <w:rPr>
      <w:sz w:val="24"/>
      <w:szCs w:val="24"/>
      <w:lang w:val="en-US" w:eastAsia="en-US"/>
    </w:rPr>
  </w:style>
  <w:style w:type="paragraph" w:styleId="Piedepgina">
    <w:name w:val="footer"/>
    <w:basedOn w:val="Normal"/>
    <w:link w:val="PiedepginaCar"/>
    <w:uiPriority w:val="99"/>
    <w:unhideWhenUsed/>
    <w:rsid w:val="004B2C4B"/>
    <w:pPr>
      <w:tabs>
        <w:tab w:val="center" w:pos="4252"/>
        <w:tab w:val="right" w:pos="8504"/>
      </w:tabs>
    </w:pPr>
  </w:style>
  <w:style w:type="character" w:customStyle="1" w:styleId="PiedepginaCar">
    <w:name w:val="Pie de página Car"/>
    <w:basedOn w:val="Fuentedeprrafopredeter"/>
    <w:link w:val="Piedepgina"/>
    <w:uiPriority w:val="99"/>
    <w:rsid w:val="004B2C4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885</Words>
  <Characters>4871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juan guillermo</cp:lastModifiedBy>
  <cp:revision>5</cp:revision>
  <dcterms:created xsi:type="dcterms:W3CDTF">2021-09-17T21:14:00Z</dcterms:created>
  <dcterms:modified xsi:type="dcterms:W3CDTF">2021-09-17T21:24:00Z</dcterms:modified>
</cp:coreProperties>
</file>