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8EA3" w14:textId="77777777" w:rsidR="009210CF" w:rsidRDefault="009210CF" w:rsidP="009210CF">
      <w:pPr>
        <w:jc w:val="both"/>
      </w:pPr>
      <w:r>
        <w:t xml:space="preserve">Natalia Paola Campos </w:t>
      </w:r>
      <w:proofErr w:type="spellStart"/>
      <w:r>
        <w:t>Sossa</w:t>
      </w:r>
      <w:proofErr w:type="spellEnd"/>
    </w:p>
    <w:p w14:paraId="13EA87DD" w14:textId="77777777" w:rsidR="009210CF" w:rsidRDefault="009210CF" w:rsidP="009210CF">
      <w:pPr>
        <w:jc w:val="both"/>
      </w:pPr>
    </w:p>
    <w:p w14:paraId="2B2952F8" w14:textId="64F10B62" w:rsidR="009210CF" w:rsidRDefault="009210CF" w:rsidP="009210CF">
      <w:pPr>
        <w:jc w:val="both"/>
      </w:pPr>
      <w:r>
        <w:t>Intervención foro mesa 3</w:t>
      </w:r>
      <w:r>
        <w:t>:</w:t>
      </w:r>
    </w:p>
    <w:p w14:paraId="6B60BE58" w14:textId="77777777" w:rsidR="009210CF" w:rsidRDefault="009210CF" w:rsidP="009210CF">
      <w:pPr>
        <w:jc w:val="both"/>
      </w:pPr>
    </w:p>
    <w:p w14:paraId="79733665" w14:textId="77777777" w:rsidR="009210CF" w:rsidRDefault="009210CF" w:rsidP="009210CF">
      <w:pPr>
        <w:jc w:val="both"/>
      </w:pPr>
      <w:r>
        <w:t>De acuerdo a lo que expone la Doctora Alba Lucía Becerra H.M. del Tribunal Contencioso Administrativo de Cundinamarca, la reforma de la Ley 2080 de 2021 al Código Administrativo y de Procedimiento Administrativo en materia de recursos, sobre todo en lo que tiene que ver con los ordinarios es de 180 grados, y considero que es ajustado su análisis puesto que existen muchos cambios frente al tema en la reforma, siendo especialmente llamativo y útil en mi concepto, el haber dispuesto en el artículo 242 del CPACA (art.61 de la Ley 2080 de 2021), el recurso de reposición como regla general procedente contra todos los autos, salvo norma legal en contrario, puesto que de esta manera se permite al Juez de primera instancia revisar decisiones que por ser de forma o errores fácilmente verificables en reposición, reconsiderar su postura, y evita que necesariamente se surtan segundas instancias contrarias al principio de economía y eficiencia.</w:t>
      </w:r>
    </w:p>
    <w:p w14:paraId="53FAA76B" w14:textId="77777777" w:rsidR="009210CF" w:rsidRDefault="009210CF" w:rsidP="009210CF">
      <w:pPr>
        <w:jc w:val="both"/>
      </w:pPr>
    </w:p>
    <w:p w14:paraId="51F58EE8" w14:textId="77777777" w:rsidR="009210CF" w:rsidRDefault="009210CF" w:rsidP="009210CF">
      <w:pPr>
        <w:jc w:val="both"/>
      </w:pPr>
      <w:r>
        <w:t>Frente a los cambios que tuvo el recurso de apelación, considero que el efecto devolutivo que el parágrafo 1º del artículo 243 impone a las providencias allí reguladas en los numerales 5 a 8, puede traer dificultades en el trámite del proceso, y que necesariamente conllevarán a la aplicación del artículo 330 del código general del proceso, lo que hace previsible discusiones, por ejemplo, en la práctica de pruebas, que no necesariamente garantizará el derecho de contradicción.</w:t>
      </w:r>
    </w:p>
    <w:p w14:paraId="7C854D53" w14:textId="77777777" w:rsidR="009444B4" w:rsidRDefault="009444B4"/>
    <w:sectPr w:rsidR="009444B4" w:rsidSect="00224A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CF"/>
    <w:rsid w:val="000854FA"/>
    <w:rsid w:val="00224A0E"/>
    <w:rsid w:val="009210CF"/>
    <w:rsid w:val="009444B4"/>
    <w:rsid w:val="00EA6C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9B46E3D"/>
  <w15:chartTrackingRefBased/>
  <w15:docId w15:val="{328C0990-221D-4F4B-9F06-F93B0BB1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0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1255</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Fernando maya donoso</dc:creator>
  <cp:keywords/>
  <dc:description/>
  <cp:lastModifiedBy>Cristian Fernando maya donoso</cp:lastModifiedBy>
  <cp:revision>1</cp:revision>
  <dcterms:created xsi:type="dcterms:W3CDTF">2021-09-13T23:08:00Z</dcterms:created>
  <dcterms:modified xsi:type="dcterms:W3CDTF">2021-09-13T23:09:00Z</dcterms:modified>
</cp:coreProperties>
</file>