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51062B" w14:textId="77777777" w:rsidR="00E93FC5" w:rsidRPr="00237BBE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Ninguno"/>
          <w:rFonts w:ascii="Helvetica" w:eastAsia="Helvetica" w:hAnsi="Helvetica" w:cs="Helvetica"/>
          <w:u w:color="000000"/>
        </w:rPr>
      </w:pPr>
      <w:r w:rsidRPr="00237BBE">
        <w:rPr>
          <w:rStyle w:val="Ninguno"/>
          <w:rFonts w:ascii="Helvetica" w:hAnsi="Helvetica"/>
          <w:u w:color="000000"/>
        </w:rPr>
        <w:t>EQUIPO ESTRUCTURADOR PARA LOS TALLERES DE CAPACITACIÓN E IMPLEMENTACIÓN DE LA LEY 2080 DE 2021 (Resolución PCSJSR21-048 de 24 de mayo de 2021. Consejo Superior de la Judicatura) </w:t>
      </w:r>
    </w:p>
    <w:p w14:paraId="76666EAB" w14:textId="77777777" w:rsidR="00E93FC5" w:rsidRPr="00237BBE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Ninguno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B08829" w14:textId="77777777" w:rsidR="00E93FC5" w:rsidRPr="00237BBE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Ninguno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964786A" w14:textId="77777777" w:rsidR="00E93FC5" w:rsidRPr="00237BBE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rPr>
          <w:rStyle w:val="Ninguno"/>
          <w:rFonts w:ascii="Calibri" w:eastAsia="Calibri" w:hAnsi="Calibri" w:cs="Calibri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E6C6D72" w14:textId="77777777" w:rsidR="00E93FC5" w:rsidRPr="00237BBE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center"/>
        <w:rPr>
          <w:rStyle w:val="Ninguno"/>
          <w:rFonts w:ascii="Helvetica" w:eastAsia="Helvetica" w:hAnsi="Helvetica" w:cs="Helvetica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37BBE">
        <w:rPr>
          <w:rStyle w:val="Ninguno"/>
          <w:rFonts w:ascii="Helvetica" w:hAnsi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>TALLER SOBRE RECURSOS EXTRAORDINARIOS DE LA MESA DE ESTUDIO No. 3. (Trabajo asincrónico)</w:t>
      </w:r>
      <w:r w:rsidRPr="00237BBE">
        <w:rPr>
          <w:rStyle w:val="Ninguno"/>
          <w:rFonts w:ascii="Helvetica" w:eastAsia="Helvetica" w:hAnsi="Helvetica" w:cs="Helvetica"/>
          <w:sz w:val="22"/>
          <w:szCs w:val="22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br/>
      </w:r>
    </w:p>
    <w:p w14:paraId="20AFA0AF" w14:textId="77777777" w:rsidR="00E93FC5" w:rsidRPr="00237BBE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7EAA95C" w14:textId="7601D58C" w:rsidR="00F17D9A" w:rsidRPr="00237BBE" w:rsidRDefault="00F17D9A"/>
    <w:p w14:paraId="5334AA61" w14:textId="62151E6D" w:rsidR="00E93FC5" w:rsidRDefault="00E93FC5" w:rsidP="00B2473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37BBE">
        <w:rPr>
          <w:rStyle w:val="Ninguno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EJERCICIO 1. RECURSO EXTRAORDINARIO DE REVISIÓN</w:t>
      </w:r>
      <w:r w:rsidRPr="00237BBE"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143DDB62" w14:textId="77777777" w:rsidR="00B24735" w:rsidRDefault="00B24735" w:rsidP="00B2473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856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2648"/>
        <w:gridCol w:w="3085"/>
        <w:gridCol w:w="2835"/>
      </w:tblGrid>
      <w:tr w:rsidR="00B24735" w:rsidRPr="00B24735" w14:paraId="3FCE7FFD" w14:textId="77777777" w:rsidTr="005C2B36">
        <w:trPr>
          <w:trHeight w:val="324"/>
          <w:tblHeader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536B28" w14:textId="77777777" w:rsidR="00B24735" w:rsidRPr="00B24735" w:rsidRDefault="00B24735" w:rsidP="00B24735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2D93C" w14:textId="77777777" w:rsidR="00B24735" w:rsidRPr="00B24735" w:rsidRDefault="00B24735" w:rsidP="00B2473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94CECE" w14:textId="77777777" w:rsidR="00B24735" w:rsidRPr="00B24735" w:rsidRDefault="00B24735" w:rsidP="00B2473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B24735" w:rsidRPr="00B24735" w14:paraId="245C607C" w14:textId="77777777" w:rsidTr="005C2B36">
        <w:tblPrEx>
          <w:shd w:val="clear" w:color="auto" w:fill="CDD4E9"/>
        </w:tblPrEx>
        <w:trPr>
          <w:trHeight w:val="489"/>
          <w:jc w:val="center"/>
        </w:trPr>
        <w:tc>
          <w:tcPr>
            <w:tcW w:w="2648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10EDDD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INADMISIÓN DEL RECURSO</w:t>
            </w:r>
          </w:p>
        </w:tc>
        <w:tc>
          <w:tcPr>
            <w:tcW w:w="308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823923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 X</w:t>
            </w:r>
          </w:p>
        </w:tc>
        <w:tc>
          <w:tcPr>
            <w:tcW w:w="283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6C550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Si este se inadmite por no reunir los requisitos formales exigidos en el artículo </w:t>
            </w:r>
            <w:hyperlink r:id="rId7" w:anchor="252" w:history="1">
              <w:r w:rsidRPr="00B24735">
                <w:rPr>
                  <w:rFonts w:ascii="Arial" w:eastAsia="Arial Unicode MS" w:hAnsi="Arial" w:cs="Arial"/>
                  <w:color w:val="0073FF"/>
                  <w:sz w:val="18"/>
                  <w:szCs w:val="18"/>
                  <w:u w:val="single"/>
                  <w:lang w:val="en-US" w:eastAsia="es-ES_tradnl"/>
                </w:rPr>
                <w:t>252</w:t>
              </w:r>
            </w:hyperlink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, se concederá al recurrente un plazo de cinco (5) días para subsanar los defectos advertidos.</w:t>
            </w:r>
          </w:p>
        </w:tc>
      </w:tr>
      <w:tr w:rsidR="00B24735" w:rsidRPr="00B24735" w14:paraId="7A224E49" w14:textId="77777777" w:rsidTr="005C2B36">
        <w:tblPrEx>
          <w:shd w:val="clear" w:color="auto" w:fill="CDD4E9"/>
        </w:tblPrEx>
        <w:trPr>
          <w:trHeight w:val="48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E4766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CAUSALES DE RECHAZO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35B911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09B709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  <w:t>El recurso se rechazará cuando:</w:t>
            </w:r>
          </w:p>
          <w:p w14:paraId="05BFC9D6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  <w:t>1. No se presente en el término legal.</w:t>
            </w:r>
          </w:p>
          <w:p w14:paraId="29AECA12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  <w:t>2. Haya sido formulado por quien carece de legitimación para hacerlo.</w:t>
            </w:r>
          </w:p>
          <w:p w14:paraId="318AD847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ES_tradnl"/>
              </w:rPr>
              <w:t>3. No se subsanen en término las falencias advertidas en la inadmisión.</w:t>
            </w:r>
          </w:p>
          <w:p w14:paraId="3697D710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</w:tc>
      </w:tr>
      <w:tr w:rsidR="00B24735" w:rsidRPr="00B24735" w14:paraId="07A1B654" w14:textId="77777777" w:rsidTr="005C2B36">
        <w:tblPrEx>
          <w:shd w:val="clear" w:color="auto" w:fill="CDD4E9"/>
        </w:tblPrEx>
        <w:trPr>
          <w:trHeight w:val="2203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223FAF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NOTIFICACIÓN AUTO ADMISORIO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1C51C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 notificará personalmente a la contraparte y al Ministerio Público para que lo contesten, si a bien tienen, y pidan pruebas, dentro del término de diez (10) días. 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23A746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 notificará personalmente a la contraparte y al Ministerio Público para que lo contesten dentro de los diez (10) días siguientes, si a bien lo tienen, y pidan pruebas.  </w:t>
            </w:r>
          </w:p>
          <w:p w14:paraId="21D51C0C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  <w:tr w:rsidR="00B24735" w:rsidRPr="00B24735" w14:paraId="7D2A7A11" w14:textId="77777777" w:rsidTr="005C2B36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C704F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EXCEPCIONES PREVIAS Y REFORMA DEL RECURSO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5E97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2A32B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Dentro de este trámite no se podrán proponer excepciones previas y tampoco procederá la reforma del recurso de revisión.</w:t>
            </w:r>
          </w:p>
        </w:tc>
      </w:tr>
      <w:tr w:rsidR="00B24735" w:rsidRPr="00B24735" w14:paraId="7A74E57C" w14:textId="77777777" w:rsidTr="005C2B36">
        <w:tblPrEx>
          <w:shd w:val="clear" w:color="auto" w:fill="CDD4E9"/>
        </w:tblPrEx>
        <w:trPr>
          <w:trHeight w:val="724"/>
          <w:jc w:val="center"/>
        </w:trPr>
        <w:tc>
          <w:tcPr>
            <w:tcW w:w="2648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99C906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SUSPENSIÓN CUMPLIMIENTO DE LA SENTENCIA </w:t>
            </w:r>
          </w:p>
        </w:tc>
        <w:tc>
          <w:tcPr>
            <w:tcW w:w="308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1C5EA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  <w:t>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2A0F0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lang w:val="en-US" w:eastAsia="es-ES_tradnl"/>
              </w:rPr>
              <w:t>ART 253. PARÁGRAFO. </w:t>
            </w: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En ningún caso, el trámite del recurso de revisión suspende el cumplimiento de la sentencia.</w:t>
            </w:r>
          </w:p>
        </w:tc>
      </w:tr>
    </w:tbl>
    <w:p w14:paraId="2415FB38" w14:textId="77777777" w:rsidR="00B24735" w:rsidRPr="00237BBE" w:rsidRDefault="00B24735" w:rsidP="00B2473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6A5A7D" w14:textId="1AE10FD6" w:rsidR="00E93FC5" w:rsidRPr="00237BBE" w:rsidRDefault="00E93FC5"/>
    <w:p w14:paraId="47293B11" w14:textId="7E9668D9" w:rsidR="00E93FC5" w:rsidRPr="00237BBE" w:rsidRDefault="00E93FC5"/>
    <w:p w14:paraId="6B414E61" w14:textId="4368E1B0" w:rsidR="00E93FC5" w:rsidRPr="00237BBE" w:rsidRDefault="00E93FC5"/>
    <w:p w14:paraId="73E20381" w14:textId="25BA319C" w:rsidR="00E93FC5" w:rsidRDefault="00E93FC5" w:rsidP="00B2473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237BBE">
        <w:rPr>
          <w:rStyle w:val="Ninguno"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Sentencia</w:t>
      </w:r>
      <w:r w:rsidRPr="00237BBE"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730DE74A" w14:textId="77777777" w:rsidR="00B24735" w:rsidRDefault="00B24735" w:rsidP="00B2473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tbl>
      <w:tblPr>
        <w:tblStyle w:val="TableNormal"/>
        <w:tblW w:w="8568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755"/>
        <w:gridCol w:w="2693"/>
      </w:tblGrid>
      <w:tr w:rsidR="00B24735" w:rsidRPr="00B24735" w14:paraId="1A21DE8F" w14:textId="77777777" w:rsidTr="005C2B36">
        <w:trPr>
          <w:trHeight w:val="314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AA7C70" w14:textId="77777777" w:rsidR="00B24735" w:rsidRPr="00B24735" w:rsidRDefault="00B24735" w:rsidP="00B24735">
            <w:pPr>
              <w:keepNext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ASPECTOS PROCESALES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74B4D2" w14:textId="77777777" w:rsidR="00B24735" w:rsidRPr="00B24735" w:rsidRDefault="00B24735" w:rsidP="00B24735">
            <w:pPr>
              <w:keepNext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 (texto original)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9B7EE" w14:textId="77777777" w:rsidR="00B24735" w:rsidRPr="00B24735" w:rsidRDefault="00B24735" w:rsidP="00B24735">
            <w:pPr>
              <w:keepNext/>
              <w:jc w:val="center"/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LEY 2080 DE 2021</w:t>
            </w:r>
          </w:p>
        </w:tc>
      </w:tr>
      <w:tr w:rsidR="00B24735" w:rsidRPr="00B24735" w14:paraId="086616F4" w14:textId="77777777" w:rsidTr="005C2B36">
        <w:tblPrEx>
          <w:shd w:val="clear" w:color="auto" w:fill="CDD4E9"/>
        </w:tblPrEx>
        <w:trPr>
          <w:trHeight w:val="1489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3D72A" w14:textId="77777777" w:rsidR="00B24735" w:rsidRPr="00B24735" w:rsidRDefault="00B24735" w:rsidP="00B24735">
            <w:pPr>
              <w:jc w:val="both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SENTENCIA POR LAS CAUSALES: de los numerales 1 a 4 y 6 a 8 del artículo 250 del CPACA o del literal b) del artículo 20 de la Ley 797 de 2003. </w:t>
            </w:r>
          </w:p>
        </w:tc>
        <w:tc>
          <w:tcPr>
            <w:tcW w:w="275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2171D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bdr w:val="none" w:sz="0" w:space="0" w:color="auto"/>
                <w:lang w:eastAsia="es-ES_tradnl"/>
              </w:rPr>
              <w:t>Artículo 250 del CPACA</w:t>
            </w:r>
            <w:r w:rsidRPr="00B24735">
              <w:rPr>
                <w:rFonts w:ascii="Arial" w:hAnsi="Arial" w:cs="Arial"/>
                <w:color w:val="000000"/>
                <w:sz w:val="18"/>
                <w:szCs w:val="18"/>
                <w:u w:val="single"/>
                <w:bdr w:val="none" w:sz="0" w:space="0" w:color="auto"/>
                <w:lang w:eastAsia="es-ES_tradnl"/>
              </w:rPr>
              <w:t>:</w:t>
            </w:r>
          </w:p>
          <w:p w14:paraId="4F7D777F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>1. Haberse encontrado o recobrado después de dictada la sentencia documentos decisivos, con los cuales se hubiera podido proferir una decisión diferente y que el recurrente no pudo aportarlos al proceso por fuerza mayor o caso fortuito o por obra de la parte contraria. </w:t>
            </w:r>
          </w:p>
          <w:p w14:paraId="1B5E1350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>2. Haberse dictado la sentencia con fundamento en documentos falsos o adulterados. </w:t>
            </w:r>
          </w:p>
          <w:p w14:paraId="0317A52E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>3. Haberse dictado la sentencia con base en dictamen de peritos condenados penalmente por ilícitos cometidos en su expedición. </w:t>
            </w:r>
          </w:p>
          <w:p w14:paraId="3D288345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>4. Haberse dictado sentencia penal que declare que hubo violencia o cohecho en el pronunciamiento de la sentencia. </w:t>
            </w:r>
          </w:p>
          <w:p w14:paraId="5640B254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 xml:space="preserve">6. Aparecer, después de dictada la sentencia a favor de una </w:t>
            </w: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lastRenderedPageBreak/>
              <w:t>persona, otra con mejor derecho para reclamar. </w:t>
            </w:r>
          </w:p>
          <w:p w14:paraId="0B061D35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>7. No tener la persona en cuyo favor se decretó una prestación periódica, al tiempo del reconocimiento, la aptitud legal necesaria o perder esa aptitud con posterioridad a la sentencia o sobrevenir alguna de las causales legales para su pérdida.</w:t>
            </w:r>
          </w:p>
          <w:p w14:paraId="049B21D2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>8. Ser la sentencia contraria a otra anterior que constituya cosa juzgada entre las partes del proceso en que aquella fue dictada. Sin embargo, no habrá lugar a revisión si en el segundo proceso se propuso la excepción de cosa juzgada y fue rechazada. </w:t>
            </w:r>
          </w:p>
          <w:p w14:paraId="4E6D252B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</w:p>
          <w:p w14:paraId="4C37BF15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  <w:u w:val="single"/>
                <w:bdr w:val="none" w:sz="0" w:space="0" w:color="auto"/>
                <w:lang w:eastAsia="es-ES_tradnl"/>
              </w:rPr>
              <w:t>Artículo 20 de la Ley 797 de 2003:</w:t>
            </w:r>
          </w:p>
          <w:p w14:paraId="11AA6804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/>
                <w:lang w:eastAsia="es-ES_tradnl"/>
              </w:rPr>
              <w:t>a) Cuando el reconocimiento se haya obtenido con violación al debido proceso, y</w:t>
            </w:r>
          </w:p>
          <w:p w14:paraId="51651DB2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00" w:beforeAutospacing="1" w:after="100" w:afterAutospacing="1" w:line="270" w:lineRule="atLeast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 w:themeColor="text1"/>
                <w:sz w:val="18"/>
                <w:szCs w:val="18"/>
                <w:bdr w:val="none" w:sz="0" w:space="0" w:color="auto"/>
                <w:lang w:eastAsia="es-ES_tradnl"/>
              </w:rPr>
              <w:t>b) Cuando la cuantía del derecho reconocido excediere lo debido de acuerdo con la ley, pacto o convención colectiva que le eran legalmente aplicables.</w:t>
            </w:r>
          </w:p>
        </w:tc>
        <w:tc>
          <w:tcPr>
            <w:tcW w:w="269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311101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  <w:lastRenderedPageBreak/>
              <w:t>X</w:t>
            </w:r>
          </w:p>
        </w:tc>
      </w:tr>
      <w:tr w:rsidR="00B24735" w:rsidRPr="00B24735" w14:paraId="6B155082" w14:textId="77777777" w:rsidTr="005C2B36">
        <w:tblPrEx>
          <w:shd w:val="clear" w:color="auto" w:fill="CDD4E9"/>
        </w:tblPrEx>
        <w:trPr>
          <w:trHeight w:val="12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8B3BF9" w14:textId="77777777" w:rsidR="00B24735" w:rsidRPr="00B24735" w:rsidRDefault="00B24735" w:rsidP="00B24735">
            <w:pPr>
              <w:jc w:val="both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SENTENCIA POR LAS CAUSALES: del numeral 5 del artículo 250 del CPACA o del literal a) del artículo 20 de la Ley 797 de 2003. 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88952D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u w:val="single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bdr w:val="none" w:sz="0" w:space="0" w:color="auto"/>
                <w:lang w:eastAsia="es-ES_tradnl"/>
              </w:rPr>
              <w:t>Artículo 250 del CPACA:</w:t>
            </w:r>
          </w:p>
          <w:p w14:paraId="31CFB165" w14:textId="77777777" w:rsidR="00B24735" w:rsidRPr="00B24735" w:rsidRDefault="00B24735" w:rsidP="00B2473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44" w:line="254" w:lineRule="atLeast"/>
              <w:jc w:val="both"/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</w:pPr>
            <w:r w:rsidRPr="00B24735">
              <w:rPr>
                <w:rFonts w:ascii="Arial" w:hAnsi="Arial" w:cs="Arial"/>
                <w:color w:val="000000"/>
                <w:sz w:val="18"/>
                <w:szCs w:val="18"/>
                <w:bdr w:val="none" w:sz="0" w:space="0" w:color="auto"/>
                <w:lang w:eastAsia="es-ES_tradnl"/>
              </w:rPr>
              <w:t>5. Existir nulidad originada en la sentencia que puso fin al proceso y contra la que no procede recurso de apelación. </w:t>
            </w:r>
          </w:p>
          <w:p w14:paraId="07D54590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  <w:p w14:paraId="1BDA5EEF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8C474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  <w:t>X</w:t>
            </w:r>
          </w:p>
        </w:tc>
      </w:tr>
      <w:tr w:rsidR="00B24735" w:rsidRPr="00B24735" w14:paraId="2E6E346C" w14:textId="77777777" w:rsidTr="005C2B36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BE782D" w14:textId="77777777" w:rsidR="00B24735" w:rsidRPr="00B24735" w:rsidRDefault="00B24735" w:rsidP="00B24735">
            <w:pPr>
              <w:jc w:val="both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EFECTOS de declarar infundado 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50E05" w14:textId="77777777" w:rsidR="00B24735" w:rsidRPr="00B24735" w:rsidRDefault="00B24735" w:rsidP="00B24735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  <w:t>X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7AE15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 xml:space="preserve">Si se declara infundado el recurso, se condenará en </w:t>
            </w: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lastRenderedPageBreak/>
              <w:t>costas y perjuicios al recurrente.</w:t>
            </w:r>
          </w:p>
        </w:tc>
      </w:tr>
      <w:tr w:rsidR="00B24735" w:rsidRPr="00B24735" w14:paraId="6C3D3ECD" w14:textId="77777777" w:rsidTr="005C2B36">
        <w:tblPrEx>
          <w:shd w:val="clear" w:color="auto" w:fill="CDD4E9"/>
        </w:tblPrEx>
        <w:trPr>
          <w:trHeight w:val="50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DDD013" w14:textId="77777777" w:rsidR="00B24735" w:rsidRPr="00B24735" w:rsidRDefault="00B24735" w:rsidP="00B24735">
            <w:pPr>
              <w:jc w:val="both"/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CONSECUENCIAS de la prosperidad del recurso.</w:t>
            </w:r>
          </w:p>
        </w:tc>
        <w:tc>
          <w:tcPr>
            <w:tcW w:w="275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4559F" w14:textId="77777777" w:rsidR="00B24735" w:rsidRPr="00B24735" w:rsidRDefault="00B24735" w:rsidP="00B24735">
            <w:pPr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  <w:t>X</w:t>
            </w:r>
          </w:p>
        </w:tc>
        <w:tc>
          <w:tcPr>
            <w:tcW w:w="269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5A41B" w14:textId="77777777" w:rsidR="00B24735" w:rsidRPr="00B24735" w:rsidRDefault="00B24735" w:rsidP="00B24735">
            <w:pPr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Si el competente encuentra fundada alguna de las causales de los numerales 1 a 4 y 6 a 8 del artículo </w:t>
            </w:r>
            <w:hyperlink r:id="rId8" w:anchor="250" w:history="1">
              <w:r w:rsidRPr="00B24735">
                <w:rPr>
                  <w:rFonts w:ascii="Arial" w:eastAsia="Arial Unicode MS" w:hAnsi="Arial" w:cs="Arial"/>
                  <w:color w:val="0073FF"/>
                  <w:sz w:val="18"/>
                  <w:szCs w:val="18"/>
                  <w:u w:val="single"/>
                  <w:lang w:val="en-US" w:eastAsia="es-ES_tradnl"/>
                </w:rPr>
                <w:t>250</w:t>
              </w:r>
            </w:hyperlink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 de este código, o la del literal b) del artículo </w:t>
            </w:r>
            <w:hyperlink r:id="rId9" w:anchor="20" w:history="1">
              <w:r w:rsidRPr="00B24735">
                <w:rPr>
                  <w:rFonts w:ascii="Arial" w:eastAsia="Arial Unicode MS" w:hAnsi="Arial" w:cs="Arial"/>
                  <w:color w:val="0073FF"/>
                  <w:sz w:val="18"/>
                  <w:szCs w:val="18"/>
                  <w:u w:val="single"/>
                  <w:lang w:val="en-US" w:eastAsia="es-ES_tradnl"/>
                </w:rPr>
                <w:t>20</w:t>
              </w:r>
            </w:hyperlink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 de la Ley 797 de 2003, invalidará la sentencia revisada y dictará la que en derecho corresponde.</w:t>
            </w:r>
          </w:p>
          <w:p w14:paraId="2E057681" w14:textId="77777777" w:rsidR="00B24735" w:rsidRPr="00B24735" w:rsidRDefault="00B24735" w:rsidP="00B24735">
            <w:pPr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</w:pPr>
          </w:p>
          <w:p w14:paraId="229FEC69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Si halla fundada la causal del numeral 5 del señalado artículo </w:t>
            </w:r>
            <w:hyperlink r:id="rId10" w:anchor="250" w:history="1">
              <w:r w:rsidRPr="00B24735">
                <w:rPr>
                  <w:rFonts w:ascii="Arial" w:eastAsia="Arial Unicode MS" w:hAnsi="Arial" w:cs="Arial"/>
                  <w:color w:val="0073FF"/>
                  <w:sz w:val="18"/>
                  <w:szCs w:val="18"/>
                  <w:u w:val="single"/>
                  <w:lang w:val="en-US" w:eastAsia="es-ES_tradnl"/>
                </w:rPr>
                <w:t>250</w:t>
              </w:r>
            </w:hyperlink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, o la del literal a) del artículo </w:t>
            </w:r>
            <w:hyperlink r:id="rId11" w:anchor="20" w:history="1">
              <w:r w:rsidRPr="00B24735">
                <w:rPr>
                  <w:rFonts w:ascii="Arial" w:eastAsia="Arial Unicode MS" w:hAnsi="Arial" w:cs="Arial"/>
                  <w:color w:val="0073FF"/>
                  <w:sz w:val="18"/>
                  <w:szCs w:val="18"/>
                  <w:u w:val="single"/>
                  <w:lang w:val="en-US" w:eastAsia="es-ES_tradnl"/>
                </w:rPr>
                <w:t>20</w:t>
              </w:r>
            </w:hyperlink>
            <w:r w:rsidRPr="00B24735">
              <w:rPr>
                <w:rFonts w:ascii="Arial" w:eastAsia="Arial Unicode MS" w:hAnsi="Arial" w:cs="Arial"/>
                <w:color w:val="4B4949"/>
                <w:sz w:val="18"/>
                <w:szCs w:val="18"/>
                <w:lang w:val="en-US" w:eastAsia="es-ES_tradnl"/>
              </w:rPr>
              <w:t> de la Ley 797 de 2003, declarará la nulidad de la sentencia o de la actuación afectada con la causal que dio lugar a la revisión, y devolverá el proceso a la autoridad judicial de origen para que rehaga lo actuado o dicte sentencia de nuevo, según corresponda.</w:t>
            </w:r>
          </w:p>
        </w:tc>
      </w:tr>
    </w:tbl>
    <w:p w14:paraId="776EF5DE" w14:textId="77777777" w:rsidR="00B24735" w:rsidRPr="00A24005" w:rsidRDefault="00B24735" w:rsidP="00B2473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</w:pPr>
    </w:p>
    <w:p w14:paraId="467D571F" w14:textId="77777777" w:rsidR="00E93FC5" w:rsidRDefault="00E93FC5" w:rsidP="00E93FC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7CBE89E" w14:textId="049F2355" w:rsidR="00E93FC5" w:rsidRDefault="00E93FC5" w:rsidP="00B24735">
      <w:pPr>
        <w:pStyle w:val="Predeterminad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Style w:val="Ninguno"/>
          <w:b/>
          <w:bCs/>
          <w:u w:val="single" w:color="000000"/>
          <w14:textOutline w14:w="12700" w14:cap="flat" w14:cmpd="sng" w14:algn="ctr">
            <w14:noFill/>
            <w14:prstDash w14:val="solid"/>
            <w14:miter w14:lim="400000"/>
          </w14:textOutline>
        </w:rPr>
        <w:t>EJERCICIO 2. MECANISMO DE UNIFICACIÓN DE JURISPRUDENCIA (preventivo)</w:t>
      </w:r>
      <w:r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</w:t>
      </w:r>
    </w:p>
    <w:p w14:paraId="542C6722" w14:textId="74A7D155" w:rsidR="00E93FC5" w:rsidRDefault="00E93FC5"/>
    <w:p w14:paraId="6516A535" w14:textId="30CCE1DC" w:rsidR="00E93FC5" w:rsidRDefault="00E93FC5"/>
    <w:tbl>
      <w:tblPr>
        <w:tblStyle w:val="TableNormal"/>
        <w:tblW w:w="856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472C4"/>
        <w:tblLayout w:type="fixed"/>
        <w:tblLook w:val="04A0" w:firstRow="1" w:lastRow="0" w:firstColumn="1" w:lastColumn="0" w:noHBand="0" w:noVBand="1"/>
      </w:tblPr>
      <w:tblGrid>
        <w:gridCol w:w="3120"/>
        <w:gridCol w:w="2613"/>
        <w:gridCol w:w="2835"/>
      </w:tblGrid>
      <w:tr w:rsidR="00B24735" w:rsidRPr="00B24735" w14:paraId="2C4A8A81" w14:textId="77777777" w:rsidTr="005C2B36">
        <w:trPr>
          <w:trHeight w:val="489"/>
          <w:tblHeader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1F3226" w14:textId="77777777" w:rsidR="00B24735" w:rsidRPr="00B24735" w:rsidRDefault="00B24735" w:rsidP="00B2473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ASPECTO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FFFFFF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39353" w14:textId="77777777" w:rsidR="00B24735" w:rsidRPr="00B24735" w:rsidRDefault="00B24735" w:rsidP="00B24735">
            <w:pPr>
              <w:keepNext/>
              <w:tabs>
                <w:tab w:val="left" w:pos="708"/>
                <w:tab w:val="left" w:pos="1416"/>
                <w:tab w:val="left" w:pos="2124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1437 DE 2011 (texto original)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FFFFFF"/>
              <w:bottom w:val="single" w:sz="8" w:space="0" w:color="89847F"/>
              <w:right w:val="single" w:sz="4" w:space="0" w:color="929292"/>
            </w:tcBorders>
            <w:shd w:val="clear" w:color="auto" w:fill="FF25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C7C7D9" w14:textId="77777777" w:rsidR="00B24735" w:rsidRPr="00B24735" w:rsidRDefault="00B24735" w:rsidP="00B24735">
            <w:pPr>
              <w:keepNext/>
              <w:tabs>
                <w:tab w:val="left" w:pos="708"/>
                <w:tab w:val="left" w:pos="1416"/>
                <w:tab w:val="left" w:pos="2124"/>
                <w:tab w:val="left" w:pos="2832"/>
              </w:tabs>
              <w:jc w:val="center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FFFFFF"/>
                <w:sz w:val="18"/>
                <w:szCs w:val="18"/>
                <w:u w:color="FFFFFF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LEY 2080 DE 2021</w:t>
            </w:r>
          </w:p>
        </w:tc>
      </w:tr>
      <w:tr w:rsidR="00B24735" w:rsidRPr="00B24735" w14:paraId="6EF32C80" w14:textId="77777777" w:rsidTr="005C2B36">
        <w:tblPrEx>
          <w:shd w:val="clear" w:color="auto" w:fill="CDD4E9"/>
        </w:tblPrEx>
        <w:trPr>
          <w:trHeight w:val="2535"/>
        </w:trPr>
        <w:tc>
          <w:tcPr>
            <w:tcW w:w="3120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B032F5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PROVIDENCIAS SOBRE LAS QUE RECAE EL MECANISMO</w:t>
            </w:r>
          </w:p>
        </w:tc>
        <w:tc>
          <w:tcPr>
            <w:tcW w:w="2613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9FAE67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spacing w:line="254" w:lineRule="atLeast"/>
              <w:jc w:val="both"/>
              <w:rPr>
                <w:rFonts w:ascii="Arial" w:eastAsia="Helvetica Neue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Son susceptibles de este mecanismo: </w:t>
            </w:r>
          </w:p>
          <w:p w14:paraId="14F2979D" w14:textId="77777777" w:rsidR="00B24735" w:rsidRPr="00B24735" w:rsidRDefault="00B24735" w:rsidP="00B24735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shd w:val="clear" w:color="auto" w:fill="E0E0E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asuntos pendientes de fallo en el Consejo de Estado. </w:t>
            </w:r>
          </w:p>
          <w:p w14:paraId="39AF0E9E" w14:textId="77777777" w:rsidR="00B24735" w:rsidRPr="00B24735" w:rsidRDefault="00B24735" w:rsidP="00B24735">
            <w:pPr>
              <w:numPr>
                <w:ilvl w:val="0"/>
                <w:numId w:val="1"/>
              </w:numPr>
              <w:spacing w:line="254" w:lineRule="atLeast"/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shd w:val="clear" w:color="auto" w:fill="E0E0E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Los asuntos remitidos por las secciones o subsecciones de los tribunales, en única o segunda instancia.</w:t>
            </w:r>
          </w:p>
        </w:tc>
        <w:tc>
          <w:tcPr>
            <w:tcW w:w="2835" w:type="dxa"/>
            <w:tcBorders>
              <w:top w:val="single" w:sz="8" w:space="0" w:color="89847F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0A02A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hAnsi="Arial" w:cs="Arial"/>
                <w:color w:val="4B4949"/>
                <w:sz w:val="18"/>
                <w:szCs w:val="18"/>
                <w:bdr w:val="none" w:sz="0" w:space="0" w:color="auto"/>
                <w:lang w:eastAsia="es-CO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 </w:t>
            </w: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Establece que las secciones del Consejo de Estado dictarán sentencias y autos de unificación en relación </w:t>
            </w: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val="single"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con los asuntos de los despachos </w:t>
            </w: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de los magistrados del Consejo de Estado, ampliando esta posibilidad que se refería antes sólo a los asuntos de las subsecciones. </w:t>
            </w:r>
          </w:p>
          <w:p w14:paraId="5D9D19C9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</w:tc>
      </w:tr>
      <w:tr w:rsidR="00B24735" w:rsidRPr="00B24735" w14:paraId="18764589" w14:textId="77777777" w:rsidTr="005C2B36">
        <w:tblPrEx>
          <w:shd w:val="clear" w:color="auto" w:fill="CDD4E9"/>
        </w:tblPrEx>
        <w:trPr>
          <w:trHeight w:val="216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F2DB4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LEGITIMACIÓN POR ACTIVA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907F7" w14:textId="77777777" w:rsidR="00B24735" w:rsidRPr="00B24735" w:rsidRDefault="00B24735" w:rsidP="00B2473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 Consejo de Estado de oficio.</w:t>
            </w:r>
          </w:p>
          <w:p w14:paraId="650363B3" w14:textId="77777777" w:rsidR="00B24735" w:rsidRPr="00B24735" w:rsidRDefault="00B24735" w:rsidP="00B2473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solicitud de parte.</w:t>
            </w:r>
          </w:p>
          <w:p w14:paraId="4E14BA1F" w14:textId="77777777" w:rsidR="00B24735" w:rsidRPr="00B24735" w:rsidRDefault="00B24735" w:rsidP="00B2473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Los Tribunales por remisión de los asuntos que conocen en única o segunda instancia. </w:t>
            </w:r>
          </w:p>
          <w:p w14:paraId="0C3506EA" w14:textId="77777777" w:rsidR="00B24735" w:rsidRPr="00B24735" w:rsidRDefault="00B24735" w:rsidP="00B24735">
            <w:pPr>
              <w:numPr>
                <w:ilvl w:val="0"/>
                <w:numId w:val="2"/>
              </w:numPr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 petición del Ministerio Público. 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56F5B4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val="single"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se agrega la Agencia Nacional de Defensa Jurídica del Estado </w:t>
            </w: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(ANDJE). </w:t>
            </w:r>
          </w:p>
          <w:p w14:paraId="481CEB28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</w:tc>
      </w:tr>
      <w:tr w:rsidR="00B24735" w:rsidRPr="00B24735" w14:paraId="73087DB6" w14:textId="77777777" w:rsidTr="005C2B36">
        <w:tblPrEx>
          <w:shd w:val="clear" w:color="auto" w:fill="CDD4E9"/>
        </w:tblPrEx>
        <w:trPr>
          <w:trHeight w:val="896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5650BF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COMPETENCIA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56CC" w14:textId="77777777" w:rsidR="00B24735" w:rsidRPr="00B24735" w:rsidRDefault="00B24735" w:rsidP="00B24735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Sala Plena de lo Contencioso Administrativo del Consejo de Estado cuando los asuntos provengan de sus secciones. </w:t>
            </w:r>
          </w:p>
          <w:p w14:paraId="3262BEC8" w14:textId="77777777" w:rsidR="00B24735" w:rsidRPr="00B24735" w:rsidRDefault="00B24735" w:rsidP="00B24735">
            <w:pPr>
              <w:numPr>
                <w:ilvl w:val="0"/>
                <w:numId w:val="4"/>
              </w:numPr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Las secciones del Consejo de Estado cuando los asuntos provengan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DBD00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en caso de unificación sobre aspectos procesales transversales la competencia es de la Sala Plena del Consejo de Estado. </w:t>
            </w:r>
          </w:p>
          <w:p w14:paraId="08886146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</w:tc>
      </w:tr>
      <w:tr w:rsidR="00B24735" w:rsidRPr="00B24735" w14:paraId="58258A3F" w14:textId="77777777" w:rsidTr="005C2B36">
        <w:tblPrEx>
          <w:shd w:val="clear" w:color="auto" w:fill="CDD4E9"/>
        </w:tblPrEx>
        <w:trPr>
          <w:trHeight w:val="192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BB3AB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OPORTUNIDAD PROCESAL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B86709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 Consejo de Estado podrá asumir conocimiento mientras el asunto se encuentre pendiente de fallo ya sea en sus mismas secciones o proveniente de los tribunales. 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559BC9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Indica un momento procesal para asumir el trámite a solicitud de parte o de la Agencia Nacional de Defensa Jurídica del Estado, a saber, que la solicitud respectiva se haya formulado antes de que se registre ponencia de fallo; pero si la petición proviene de un consejero de Estado, del tribunal administrativo o del Ministerio Público, podrá formularse en cualquier tiempo; y se restringe, en el caso de la ANDJE, a los casos en que esta previamente haya intervenido o se haya hecho parte dentro del proceso. </w:t>
            </w:r>
          </w:p>
          <w:p w14:paraId="44464DDA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</w:tc>
      </w:tr>
      <w:tr w:rsidR="00B24735" w:rsidRPr="00B24735" w14:paraId="02AEF432" w14:textId="77777777" w:rsidTr="005C2B36">
        <w:tblPrEx>
          <w:shd w:val="clear" w:color="auto" w:fill="CDD4E9"/>
        </w:tblPrEx>
        <w:trPr>
          <w:trHeight w:val="2460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357BDD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CAUSALES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DD931F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Se proferirán decisiones de unificación jurisprudencial en los siguientes casos:   por razones de importancia jurídica, trascendencia económica o social o necesidad de sentar jurisprudencia.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1CAD4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nueva causal para proceder al mecanismo de unificación de jurisprudencia, a saber, </w:t>
            </w:r>
            <w:r w:rsidRPr="00B24735">
              <w:rPr>
                <w:rFonts w:ascii="Arial" w:eastAsia="Arial Unicode MS" w:hAnsi="Arial" w:cs="Arial"/>
                <w:sz w:val="18"/>
                <w:szCs w:val="18"/>
                <w:u w:val="single"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la de precisar el alcance o resolver divergencias en la interpretación y aplicación de la jurisprudencia</w:t>
            </w:r>
          </w:p>
        </w:tc>
      </w:tr>
      <w:tr w:rsidR="00B24735" w:rsidRPr="00B24735" w14:paraId="72FF83CE" w14:textId="77777777" w:rsidTr="005C2B36">
        <w:tblPrEx>
          <w:shd w:val="clear" w:color="auto" w:fill="CDD4E9"/>
        </w:tblPrEx>
        <w:trPr>
          <w:trHeight w:val="514"/>
        </w:trPr>
        <w:tc>
          <w:tcPr>
            <w:tcW w:w="3120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DAD917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</w:tabs>
              <w:jc w:val="both"/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  <w:r w:rsidRPr="00B24735">
              <w:rPr>
                <w:rFonts w:ascii="Arial" w:eastAsia="Arial Unicode MS" w:hAnsi="Arial" w:cs="Arial"/>
                <w:b/>
                <w:bCs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MECANISMO ELECTRÓNICO DE IDENTIFICACIÓN </w:t>
            </w:r>
          </w:p>
        </w:tc>
        <w:tc>
          <w:tcPr>
            <w:tcW w:w="2613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C7004E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</w:tabs>
              <w:rPr>
                <w:rFonts w:ascii="Arial" w:eastAsia="Arial Unicode MS" w:hAnsi="Arial" w:cs="Arial"/>
                <w:color w:val="000000"/>
                <w:sz w:val="18"/>
                <w:szCs w:val="18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                X</w:t>
            </w:r>
          </w:p>
        </w:tc>
        <w:tc>
          <w:tcPr>
            <w:tcW w:w="2835" w:type="dxa"/>
            <w:tcBorders>
              <w:top w:val="single" w:sz="4" w:space="0" w:color="929292"/>
              <w:left w:val="single" w:sz="4" w:space="0" w:color="929292"/>
              <w:bottom w:val="single" w:sz="4" w:space="0" w:color="929292"/>
              <w:right w:val="single" w:sz="4" w:space="0" w:color="929292"/>
            </w:tcBorders>
            <w:shd w:val="clear" w:color="auto" w:fill="F7F7F6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37C9A" w14:textId="77777777" w:rsidR="00B24735" w:rsidRPr="00B24735" w:rsidRDefault="00B24735" w:rsidP="00B247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both"/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dispuso implementar un mecanismo electrónico que permita identificar en el Consejo de Estados, tribunales y juzgados administrativos las materias y </w:t>
            </w:r>
            <w:r w:rsidRPr="00B24735">
              <w:rPr>
                <w:rFonts w:ascii="Arial" w:eastAsia="Arial Unicode MS" w:hAnsi="Arial" w:cs="Arial"/>
                <w:color w:val="000000"/>
                <w:sz w:val="18"/>
                <w:szCs w:val="18"/>
                <w:u w:color="000000"/>
                <w:lang w:val="es-ES_tradnl" w:eastAsia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temas que deban ser objeto del mecanismo de unificación de jurisprudencia.</w:t>
            </w:r>
          </w:p>
          <w:p w14:paraId="6EB00D6A" w14:textId="77777777" w:rsidR="00B24735" w:rsidRPr="00B24735" w:rsidRDefault="00B24735" w:rsidP="00B24735">
            <w:pPr>
              <w:rPr>
                <w:rFonts w:ascii="Arial" w:eastAsia="Arial Unicode MS" w:hAnsi="Arial" w:cs="Arial"/>
                <w:sz w:val="18"/>
                <w:szCs w:val="18"/>
                <w:lang w:val="en-US" w:eastAsia="es-ES_tradnl"/>
              </w:rPr>
            </w:pPr>
          </w:p>
        </w:tc>
      </w:tr>
    </w:tbl>
    <w:p w14:paraId="5B023742" w14:textId="77777777" w:rsidR="00E93FC5" w:rsidRDefault="00E93FC5" w:rsidP="00E93FC5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324" w:hanging="324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GoBack"/>
      <w:bookmarkEnd w:id="0"/>
    </w:p>
    <w:p w14:paraId="7F0ED0CA" w14:textId="77777777" w:rsidR="00E93FC5" w:rsidRDefault="00E93FC5" w:rsidP="00E93FC5">
      <w:pPr>
        <w:pStyle w:val="Predeterminado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0" w:line="240" w:lineRule="auto"/>
        <w:ind w:left="216" w:hanging="216"/>
        <w:jc w:val="both"/>
        <w:rPr>
          <w:rStyle w:val="Ninguno"/>
          <w:u w:color="000000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017536" w14:textId="77777777" w:rsidR="00E93FC5" w:rsidRDefault="00E93FC5"/>
    <w:sectPr w:rsidR="00E93F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D598D0" w14:textId="77777777" w:rsidR="00EA2AA0" w:rsidRDefault="00EA2AA0" w:rsidP="00431A7C">
      <w:r>
        <w:separator/>
      </w:r>
    </w:p>
  </w:endnote>
  <w:endnote w:type="continuationSeparator" w:id="0">
    <w:p w14:paraId="3B42E466" w14:textId="77777777" w:rsidR="00EA2AA0" w:rsidRDefault="00EA2AA0" w:rsidP="0043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D2E5C5" w14:textId="77777777" w:rsidR="00EA2AA0" w:rsidRDefault="00EA2AA0" w:rsidP="00431A7C">
      <w:r>
        <w:separator/>
      </w:r>
    </w:p>
  </w:footnote>
  <w:footnote w:type="continuationSeparator" w:id="0">
    <w:p w14:paraId="34DF4DE3" w14:textId="77777777" w:rsidR="00EA2AA0" w:rsidRDefault="00EA2AA0" w:rsidP="0043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D426E"/>
    <w:multiLevelType w:val="hybridMultilevel"/>
    <w:tmpl w:val="83361546"/>
    <w:lvl w:ilvl="0" w:tplc="858A614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A4F8E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1A65AA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452CB6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8E8FAC0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A6C67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BF6DFD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A02D6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DCB03E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DC91B9D"/>
    <w:multiLevelType w:val="hybridMultilevel"/>
    <w:tmpl w:val="15AEF1E2"/>
    <w:lvl w:ilvl="0" w:tplc="07440AEC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0F286B2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88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25EB77E">
      <w:start w:val="1"/>
      <w:numFmt w:val="bullet"/>
      <w:lvlText w:val="▪"/>
      <w:lvlJc w:val="left"/>
      <w:pPr>
        <w:tabs>
          <w:tab w:val="left" w:pos="708"/>
          <w:tab w:val="left" w:pos="2124"/>
        </w:tabs>
        <w:ind w:left="1601" w:hanging="64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08856A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40A4676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304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51CE928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1" w:hanging="61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74CA83E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1" w:hanging="12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2CF32C">
      <w:start w:val="1"/>
      <w:numFmt w:val="bullet"/>
      <w:suff w:val="nothing"/>
      <w:lvlText w:val="o"/>
      <w:lvlJc w:val="left"/>
      <w:pPr>
        <w:tabs>
          <w:tab w:val="left" w:pos="708"/>
          <w:tab w:val="left" w:pos="1416"/>
          <w:tab w:val="left" w:pos="2124"/>
        </w:tabs>
        <w:ind w:left="5201" w:hanging="1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AEADF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1" w:hanging="57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9CB2FDB"/>
    <w:multiLevelType w:val="hybridMultilevel"/>
    <w:tmpl w:val="20A01362"/>
    <w:lvl w:ilvl="0" w:tplc="E92CC4E8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16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AAE5594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88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03A2BBC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16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46A3C2A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232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4FC163A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304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AECA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376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5602">
      <w:start w:val="1"/>
      <w:numFmt w:val="bullet"/>
      <w:lvlText w:val="·"/>
      <w:lvlJc w:val="left"/>
      <w:pPr>
        <w:tabs>
          <w:tab w:val="left" w:pos="708"/>
          <w:tab w:val="left" w:pos="1416"/>
          <w:tab w:val="left" w:pos="2124"/>
        </w:tabs>
        <w:ind w:left="4480" w:hanging="14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A325CEC">
      <w:start w:val="1"/>
      <w:numFmt w:val="bullet"/>
      <w:lvlText w:val="o"/>
      <w:lvlJc w:val="left"/>
      <w:pPr>
        <w:tabs>
          <w:tab w:val="left" w:pos="708"/>
          <w:tab w:val="left" w:pos="1416"/>
          <w:tab w:val="left" w:pos="2124"/>
        </w:tabs>
        <w:ind w:left="520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D28356">
      <w:start w:val="1"/>
      <w:numFmt w:val="bullet"/>
      <w:lvlText w:val="▪"/>
      <w:lvlJc w:val="left"/>
      <w:pPr>
        <w:tabs>
          <w:tab w:val="left" w:pos="708"/>
          <w:tab w:val="left" w:pos="1416"/>
          <w:tab w:val="left" w:pos="2124"/>
        </w:tabs>
        <w:ind w:left="5920" w:hanging="14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6DA23D45"/>
    <w:multiLevelType w:val="hybridMultilevel"/>
    <w:tmpl w:val="E4E49B9C"/>
    <w:lvl w:ilvl="0" w:tplc="6E9E1340">
      <w:start w:val="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Arial Unicode M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0">
      <w:lvl w:ilvl="0" w:tplc="858A614E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18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 w:tplc="595A4F8E">
        <w:start w:val="1"/>
        <w:numFmt w:val="bullet"/>
        <w:lvlText w:val="o"/>
        <w:lvlJc w:val="left"/>
        <w:pPr>
          <w:tabs>
            <w:tab w:val="left" w:pos="1416"/>
            <w:tab w:val="left" w:pos="2124"/>
          </w:tabs>
          <w:ind w:left="1016" w:hanging="8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 w:tplc="761A65AA">
        <w:start w:val="1"/>
        <w:numFmt w:val="bullet"/>
        <w:lvlText w:val="▪"/>
        <w:lvlJc w:val="left"/>
        <w:pPr>
          <w:tabs>
            <w:tab w:val="left" w:pos="708"/>
            <w:tab w:val="left" w:pos="2124"/>
          </w:tabs>
          <w:ind w:left="1734" w:hanging="7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3">
      <w:lvl w:ilvl="3" w:tplc="8452CB6A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234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 w:tplc="18E8FAC0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3169" w:hanging="769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5">
      <w:lvl w:ilvl="5" w:tplc="36A6C67C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3887" w:hanging="755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 w:tplc="3BF6DFD2">
        <w:start w:val="1"/>
        <w:numFmt w:val="bullet"/>
        <w:lvlText w:val="·"/>
        <w:lvlJc w:val="left"/>
        <w:pPr>
          <w:tabs>
            <w:tab w:val="left" w:pos="708"/>
            <w:tab w:val="left" w:pos="1416"/>
            <w:tab w:val="left" w:pos="2124"/>
          </w:tabs>
          <w:ind w:left="4509" w:hanging="17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 w:tplc="2A02D694">
        <w:start w:val="1"/>
        <w:numFmt w:val="bullet"/>
        <w:lvlText w:val="o"/>
        <w:lvlJc w:val="left"/>
        <w:pPr>
          <w:tabs>
            <w:tab w:val="left" w:pos="708"/>
            <w:tab w:val="left" w:pos="1416"/>
            <w:tab w:val="left" w:pos="2124"/>
          </w:tabs>
          <w:ind w:left="5322" w:hanging="7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8">
      <w:lvl w:ilvl="8" w:tplc="90DCB03E">
        <w:start w:val="1"/>
        <w:numFmt w:val="bullet"/>
        <w:lvlText w:val="▪"/>
        <w:lvlJc w:val="left"/>
        <w:pPr>
          <w:tabs>
            <w:tab w:val="left" w:pos="708"/>
            <w:tab w:val="left" w:pos="1416"/>
            <w:tab w:val="left" w:pos="2124"/>
          </w:tabs>
          <w:ind w:left="6040" w:hanging="7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FC5"/>
    <w:rsid w:val="000A56E3"/>
    <w:rsid w:val="000E036C"/>
    <w:rsid w:val="002372EC"/>
    <w:rsid w:val="00237BBE"/>
    <w:rsid w:val="00354993"/>
    <w:rsid w:val="00431A7C"/>
    <w:rsid w:val="005A4CFB"/>
    <w:rsid w:val="005F0454"/>
    <w:rsid w:val="006123E2"/>
    <w:rsid w:val="00731AE9"/>
    <w:rsid w:val="0078610B"/>
    <w:rsid w:val="00A24005"/>
    <w:rsid w:val="00A80468"/>
    <w:rsid w:val="00B0550D"/>
    <w:rsid w:val="00B24735"/>
    <w:rsid w:val="00B92DB4"/>
    <w:rsid w:val="00C33EAC"/>
    <w:rsid w:val="00CF5193"/>
    <w:rsid w:val="00D4410E"/>
    <w:rsid w:val="00DD10E5"/>
    <w:rsid w:val="00E539C9"/>
    <w:rsid w:val="00E632DE"/>
    <w:rsid w:val="00E93FC5"/>
    <w:rsid w:val="00EA2AA0"/>
    <w:rsid w:val="00F17D9A"/>
    <w:rsid w:val="00F27176"/>
    <w:rsid w:val="00F3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9E1F2C"/>
  <w15:chartTrackingRefBased/>
  <w15:docId w15:val="{9028AF6E-D190-7647-B33E-F6CE7FBAD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A5"/>
    <w:rPr>
      <w:rFonts w:ascii="Times New Roman" w:eastAsia="Times New Roman" w:hAnsi="Times New Roman" w:cs="Times New Roman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redeterminado">
    <w:name w:val="Predeterminado"/>
    <w:rsid w:val="00E93FC5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E93FC5"/>
    <w:rPr>
      <w:lang w:val="es-ES_tradnl"/>
    </w:rPr>
  </w:style>
  <w:style w:type="table" w:customStyle="1" w:styleId="TableNormal">
    <w:name w:val="Table Normal"/>
    <w:rsid w:val="00E93F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es-ES_tradn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uerpo">
    <w:name w:val="Cuerpo"/>
    <w:rsid w:val="00E93F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s-ES_tradnl" w:eastAsia="es-ES_tradnl"/>
      <w14:textOutline w14:w="0" w14:cap="flat" w14:cmpd="sng" w14:algn="ctr">
        <w14:noFill/>
        <w14:prstDash w14:val="solid"/>
        <w14:bevel/>
      </w14:textOutline>
    </w:rPr>
  </w:style>
  <w:style w:type="paragraph" w:customStyle="1" w:styleId="Estilodetabla3A">
    <w:name w:val="Estilo de tabla 3 A"/>
    <w:rsid w:val="00E93FC5"/>
    <w:pPr>
      <w:keepNext/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b/>
      <w:bCs/>
      <w:color w:val="FFFFFF"/>
      <w:sz w:val="20"/>
      <w:szCs w:val="20"/>
      <w:u w:color="FFFFFF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Estilodetabla2A">
    <w:name w:val="Estilo de tabla 2 A"/>
    <w:rsid w:val="00E93FC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u w:color="000000"/>
      <w:bdr w:val="nil"/>
      <w:lang w:val="es-ES_tradnl" w:eastAsia="es-ES_tradnl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E93FC5"/>
    <w:pPr>
      <w:spacing w:before="100" w:beforeAutospacing="1" w:after="100" w:afterAutospacing="1"/>
    </w:pPr>
    <w:rPr>
      <w:lang w:eastAsia="es-ES_tradnl"/>
    </w:rPr>
  </w:style>
  <w:style w:type="paragraph" w:styleId="Encabezado">
    <w:name w:val="header"/>
    <w:basedOn w:val="Normal"/>
    <w:link w:val="EncabezadoCar"/>
    <w:uiPriority w:val="99"/>
    <w:unhideWhenUsed/>
    <w:rsid w:val="00431A7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val="en-U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31A7C"/>
    <w:rPr>
      <w:rFonts w:ascii="Times New Roman" w:eastAsia="Arial Unicode MS" w:hAnsi="Times New Roman" w:cs="Times New Roman"/>
      <w:bdr w:val="nil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431A7C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eastAsia="Arial Unicode MS"/>
      <w:bdr w:val="nil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31A7C"/>
    <w:rPr>
      <w:rFonts w:ascii="Times New Roman" w:eastAsia="Arial Unicode MS" w:hAnsi="Times New Roman" w:cs="Times New Roman"/>
      <w:bdr w:val="nil"/>
      <w:lang w:val="en-US"/>
    </w:rPr>
  </w:style>
  <w:style w:type="character" w:styleId="Hipervnculo">
    <w:name w:val="Hyperlink"/>
    <w:basedOn w:val="Fuentedeprrafopredeter"/>
    <w:uiPriority w:val="99"/>
    <w:semiHidden/>
    <w:unhideWhenUsed/>
    <w:rsid w:val="00A2400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54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ley_1437_2011_pr005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ecretariasenado.gov.co/senado/basedoc/ley_1437_2011_pr005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cretariasenado.gov.co/senado/basedoc/ley_0797_2003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secretariasenado.gov.co/senado/basedoc/ley_1437_2011_pr005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cretariasenado.gov.co/senado/basedoc/ley_0797_2003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1146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 Guzman Morales</dc:creator>
  <cp:keywords/>
  <dc:description/>
  <cp:lastModifiedBy>SANDRA LILIANA ROJAS OTALORA</cp:lastModifiedBy>
  <cp:revision>3</cp:revision>
  <dcterms:created xsi:type="dcterms:W3CDTF">2021-09-17T17:34:00Z</dcterms:created>
  <dcterms:modified xsi:type="dcterms:W3CDTF">2021-09-17T17:36:00Z</dcterms:modified>
</cp:coreProperties>
</file>