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2648"/>
        <w:gridCol w:w="3085"/>
        <w:gridCol w:w="2835"/>
      </w:tblGrid>
      <w:tr w:rsidR="00FA5671" w14:paraId="6975A743" w14:textId="77777777" w:rsidTr="00280C4C">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405F53DF" w14:textId="77777777" w:rsidR="00FA5671" w:rsidRPr="00A74541" w:rsidRDefault="00FA5671" w:rsidP="00280C4C">
            <w:pPr>
              <w:keepNext/>
              <w:tabs>
                <w:tab w:val="left" w:pos="708"/>
                <w:tab w:val="left" w:pos="1416"/>
                <w:tab w:val="left" w:pos="2124"/>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4215DFE" w14:textId="77777777" w:rsidR="00FA5671" w:rsidRPr="00A74541" w:rsidRDefault="00FA5671" w:rsidP="00280C4C">
            <w:pPr>
              <w:keepNext/>
              <w:tabs>
                <w:tab w:val="left" w:pos="708"/>
                <w:tab w:val="left" w:pos="1416"/>
                <w:tab w:val="left" w:pos="2124"/>
                <w:tab w:val="left" w:pos="2832"/>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2F1F93CB" w14:textId="77777777" w:rsidR="00FA5671" w:rsidRPr="00A74541" w:rsidRDefault="00FA5671" w:rsidP="00280C4C">
            <w:pPr>
              <w:keepNext/>
              <w:tabs>
                <w:tab w:val="left" w:pos="708"/>
                <w:tab w:val="left" w:pos="1416"/>
                <w:tab w:val="left" w:pos="2124"/>
                <w:tab w:val="left" w:pos="2832"/>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LEY 2080 DE 2021</w:t>
            </w:r>
          </w:p>
        </w:tc>
      </w:tr>
      <w:tr w:rsidR="00FA5671" w14:paraId="28FAD3F6" w14:textId="77777777" w:rsidTr="00280C4C">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EB158" w14:textId="77777777" w:rsidR="00FA5671" w:rsidRPr="00A74541" w:rsidRDefault="00FA5671" w:rsidP="00280C4C">
            <w:pPr>
              <w:tabs>
                <w:tab w:val="left" w:pos="708"/>
                <w:tab w:val="left" w:pos="1416"/>
                <w:tab w:val="left" w:pos="2124"/>
              </w:tabs>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066E6A" w14:textId="77777777" w:rsidR="00FA5671" w:rsidRPr="00A74541" w:rsidRDefault="00FA5671" w:rsidP="00280C4C">
            <w:pPr>
              <w:rPr>
                <w:sz w:val="20"/>
                <w:szCs w:val="20"/>
                <w:lang w:eastAsia="es-ES_tradnl"/>
              </w:rPr>
            </w:pPr>
            <w:r w:rsidRPr="00A74541">
              <w:rPr>
                <w:sz w:val="20"/>
                <w:szCs w:val="20"/>
                <w:lang w:eastAsia="es-ES_tradnl"/>
              </w:rPr>
              <w:t>No existía una regulación para la inadmisión del recurso</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C68C22" w14:textId="77777777" w:rsidR="00FA5671" w:rsidRPr="00A74541" w:rsidRDefault="00FA5671" w:rsidP="00280C4C">
            <w:pPr>
              <w:rPr>
                <w:sz w:val="20"/>
                <w:szCs w:val="20"/>
                <w:lang w:eastAsia="es-ES_tradnl"/>
              </w:rPr>
            </w:pPr>
            <w:r w:rsidRPr="00A74541">
              <w:rPr>
                <w:sz w:val="20"/>
                <w:szCs w:val="20"/>
                <w:lang w:eastAsia="es-ES_tradnl"/>
              </w:rPr>
              <w:t xml:space="preserve">Se contempla un procedimiento para la inadmisión, con un término para subsanar </w:t>
            </w:r>
          </w:p>
        </w:tc>
      </w:tr>
      <w:tr w:rsidR="00FA5671" w14:paraId="730D231D" w14:textId="77777777" w:rsidTr="00280C4C">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9A25584" w14:textId="77777777" w:rsidR="00FA5671" w:rsidRPr="00A74541" w:rsidRDefault="00FA5671" w:rsidP="00280C4C">
            <w:pPr>
              <w:tabs>
                <w:tab w:val="left" w:pos="708"/>
                <w:tab w:val="left" w:pos="1416"/>
                <w:tab w:val="left" w:pos="2124"/>
              </w:tabs>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3B777EE" w14:textId="77777777" w:rsidR="00FA5671" w:rsidRPr="00A74541" w:rsidRDefault="00FA5671" w:rsidP="00280C4C">
            <w:pPr>
              <w:rPr>
                <w:sz w:val="20"/>
                <w:szCs w:val="20"/>
                <w:lang w:eastAsia="es-ES_tradnl"/>
              </w:rPr>
            </w:pPr>
            <w:r w:rsidRPr="00A74541">
              <w:rPr>
                <w:sz w:val="20"/>
                <w:szCs w:val="20"/>
                <w:lang w:eastAsia="es-ES_tradnl"/>
              </w:rPr>
              <w:t>No se contemplaban expresamente causales de rechazo</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080AA2B" w14:textId="77777777" w:rsidR="00FA5671" w:rsidRPr="00A74541" w:rsidRDefault="00FA5671" w:rsidP="00280C4C">
            <w:pPr>
              <w:rPr>
                <w:sz w:val="20"/>
                <w:szCs w:val="20"/>
                <w:lang w:eastAsia="es-ES_tradnl"/>
              </w:rPr>
            </w:pPr>
            <w:r w:rsidRPr="00A74541">
              <w:rPr>
                <w:sz w:val="20"/>
                <w:szCs w:val="20"/>
                <w:lang w:eastAsia="es-ES_tradnl"/>
              </w:rPr>
              <w:t>Se contemplan tres causales de rechazo</w:t>
            </w:r>
          </w:p>
        </w:tc>
      </w:tr>
      <w:tr w:rsidR="00FA5671" w14:paraId="5145EB69" w14:textId="77777777" w:rsidTr="00280C4C">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A08F42A" w14:textId="77777777" w:rsidR="00FA5671" w:rsidRPr="00A74541" w:rsidRDefault="00FA5671" w:rsidP="00280C4C">
            <w:pPr>
              <w:tabs>
                <w:tab w:val="left" w:pos="708"/>
                <w:tab w:val="left" w:pos="1416"/>
                <w:tab w:val="left" w:pos="2124"/>
              </w:tabs>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48BC700" w14:textId="77777777" w:rsidR="00FA5671" w:rsidRPr="00A74541" w:rsidRDefault="00FA5671" w:rsidP="00280C4C">
            <w:pPr>
              <w:pStyle w:val="Cuerpo"/>
              <w:tabs>
                <w:tab w:val="left" w:pos="708"/>
                <w:tab w:val="left" w:pos="1416"/>
                <w:tab w:val="left" w:pos="2124"/>
                <w:tab w:val="left" w:pos="2832"/>
              </w:tabs>
              <w:jc w:val="both"/>
            </w:pPr>
            <w:r w:rsidRPr="00A74541">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15E1961" w14:textId="77777777" w:rsidR="00FA5671" w:rsidRPr="00A74541" w:rsidRDefault="00FA5671" w:rsidP="00280C4C">
            <w:pPr>
              <w:pStyle w:val="Cuerpo"/>
              <w:tabs>
                <w:tab w:val="left" w:pos="708"/>
                <w:tab w:val="left" w:pos="1416"/>
                <w:tab w:val="left" w:pos="2124"/>
                <w:tab w:val="left" w:pos="2832"/>
              </w:tabs>
              <w:jc w:val="both"/>
              <w:rPr>
                <w:rStyle w:val="Ninguno"/>
                <w:sz w:val="20"/>
                <w:szCs w:val="20"/>
                <w:u w:color="000000"/>
              </w:rPr>
            </w:pPr>
            <w:r w:rsidRPr="00A74541">
              <w:rPr>
                <w:rStyle w:val="Ninguno"/>
                <w:sz w:val="20"/>
                <w:szCs w:val="20"/>
                <w:u w:color="000000"/>
              </w:rPr>
              <w:t>Se notificará personalmente a la contraparte y al Ministerio Público para que lo contesten dentro de los diez (10) días siguientes, si a bien lo tienen, y pidan pruebas.  </w:t>
            </w:r>
          </w:p>
          <w:p w14:paraId="32005191" w14:textId="77777777" w:rsidR="00FA5671" w:rsidRPr="00A74541" w:rsidRDefault="00FA5671" w:rsidP="00280C4C">
            <w:pPr>
              <w:pStyle w:val="Cuerpo"/>
              <w:tabs>
                <w:tab w:val="left" w:pos="708"/>
                <w:tab w:val="left" w:pos="1416"/>
                <w:tab w:val="left" w:pos="2124"/>
                <w:tab w:val="left" w:pos="2832"/>
              </w:tabs>
              <w:jc w:val="both"/>
            </w:pPr>
          </w:p>
        </w:tc>
      </w:tr>
      <w:tr w:rsidR="00FA5671" w14:paraId="543F909D" w14:textId="77777777" w:rsidTr="00280C4C">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264FCC8" w14:textId="77777777" w:rsidR="00FA5671" w:rsidRPr="00A74541" w:rsidRDefault="00FA5671" w:rsidP="00280C4C">
            <w:pPr>
              <w:tabs>
                <w:tab w:val="left" w:pos="708"/>
                <w:tab w:val="left" w:pos="1416"/>
                <w:tab w:val="left" w:pos="2124"/>
              </w:tabs>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7422BC4" w14:textId="77777777" w:rsidR="00FA5671" w:rsidRPr="00A74541" w:rsidRDefault="00FA5671" w:rsidP="00280C4C">
            <w:pPr>
              <w:rPr>
                <w:sz w:val="20"/>
                <w:szCs w:val="20"/>
                <w:lang w:eastAsia="es-ES_tradnl"/>
              </w:rPr>
            </w:pPr>
            <w:r w:rsidRPr="00A74541">
              <w:rPr>
                <w:sz w:val="20"/>
                <w:szCs w:val="20"/>
                <w:lang w:eastAsia="es-ES_tradnl"/>
              </w:rPr>
              <w:t>No se disponía expresamente nada al respecto</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095F75D" w14:textId="77777777" w:rsidR="00FA5671" w:rsidRPr="00A74541" w:rsidRDefault="00FA5671" w:rsidP="00280C4C">
            <w:pPr>
              <w:rPr>
                <w:sz w:val="20"/>
                <w:szCs w:val="20"/>
                <w:lang w:eastAsia="es-ES_tradnl"/>
              </w:rPr>
            </w:pPr>
            <w:r w:rsidRPr="00A74541">
              <w:rPr>
                <w:sz w:val="20"/>
                <w:szCs w:val="20"/>
                <w:lang w:eastAsia="es-ES_tradnl"/>
              </w:rPr>
              <w:t>Se prohíbe expresamente las excepciones previas y la reforma de la demanda.</w:t>
            </w:r>
          </w:p>
        </w:tc>
      </w:tr>
      <w:tr w:rsidR="00FA5671" w14:paraId="7F12905C" w14:textId="77777777" w:rsidTr="00280C4C">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59BAB1B" w14:textId="77777777" w:rsidR="00FA5671" w:rsidRPr="00A74541" w:rsidRDefault="00FA5671" w:rsidP="00280C4C">
            <w:pPr>
              <w:tabs>
                <w:tab w:val="left" w:pos="708"/>
                <w:tab w:val="left" w:pos="1416"/>
                <w:tab w:val="left" w:pos="2124"/>
              </w:tabs>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FFFFD01" w14:textId="77777777" w:rsidR="00FA5671" w:rsidRPr="00A74541" w:rsidRDefault="00FA5671" w:rsidP="00280C4C">
            <w:pPr>
              <w:rPr>
                <w:sz w:val="20"/>
                <w:szCs w:val="20"/>
                <w:lang w:eastAsia="es-ES_tradnl"/>
              </w:rPr>
            </w:pPr>
            <w:r w:rsidRPr="00A74541">
              <w:rPr>
                <w:sz w:val="20"/>
                <w:szCs w:val="20"/>
                <w:lang w:eastAsia="es-ES_tradnl"/>
              </w:rPr>
              <w:t>No se disponía expresamente nada al respecto</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A99F32A" w14:textId="77777777" w:rsidR="00FA5671" w:rsidRPr="00A74541" w:rsidRDefault="00FA5671" w:rsidP="00280C4C">
            <w:pPr>
              <w:rPr>
                <w:sz w:val="20"/>
                <w:szCs w:val="20"/>
                <w:lang w:eastAsia="es-ES_tradnl"/>
              </w:rPr>
            </w:pPr>
            <w:r w:rsidRPr="00A74541">
              <w:rPr>
                <w:sz w:val="20"/>
                <w:szCs w:val="20"/>
                <w:lang w:eastAsia="es-ES_tradnl"/>
              </w:rPr>
              <w:t>Se señala expresamente que el trámite del recurso no suspende el cumplimiento de la sentencia revisada.</w:t>
            </w:r>
          </w:p>
        </w:tc>
      </w:tr>
    </w:tbl>
    <w:p w14:paraId="06390E3D" w14:textId="77777777" w:rsidR="001F19E7" w:rsidRDefault="001F19E7"/>
    <w:p w14:paraId="55E3F487" w14:textId="77777777" w:rsidR="00FA5671" w:rsidRDefault="00FA5671"/>
    <w:p w14:paraId="2528CBFE" w14:textId="77777777" w:rsidR="00FA5671" w:rsidRDefault="00FA5671" w:rsidP="00FA5671"/>
    <w:tbl>
      <w:tblPr>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3120"/>
        <w:gridCol w:w="2755"/>
        <w:gridCol w:w="2693"/>
      </w:tblGrid>
      <w:tr w:rsidR="00FA5671" w14:paraId="306CB44D" w14:textId="77777777" w:rsidTr="00280C4C">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292686CC" w14:textId="77777777" w:rsidR="00FA5671" w:rsidRPr="00A74541" w:rsidRDefault="00FA5671" w:rsidP="00280C4C">
            <w:pPr>
              <w:pStyle w:val="Estilodetabla3A"/>
              <w:jc w:val="center"/>
            </w:pPr>
            <w:r w:rsidRPr="00A74541">
              <w:rPr>
                <w:rStyle w:val="Ningun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0E0A70" w14:textId="77777777" w:rsidR="00FA5671" w:rsidRPr="00A74541" w:rsidRDefault="00FA5671" w:rsidP="00280C4C">
            <w:pPr>
              <w:pStyle w:val="Estilodetabla3A"/>
              <w:jc w:val="center"/>
              <w:rPr>
                <w:rFonts w:ascii="Calibri" w:hAnsi="Calibri"/>
              </w:rPr>
            </w:pPr>
            <w:r w:rsidRPr="00A74541">
              <w:rPr>
                <w:rStyle w:val="Ninguno"/>
                <w:rFonts w:ascii="Calibri" w:hAnsi="Calibri"/>
              </w:rPr>
              <w:t>LEY 143</w:t>
            </w:r>
            <w:r>
              <w:rPr>
                <w:rStyle w:val="Ninguno"/>
                <w:rFonts w:ascii="Calibri" w:hAnsi="Calibri"/>
              </w:rPr>
              <w:t>|</w:t>
            </w:r>
            <w:r w:rsidRPr="00A74541">
              <w:rPr>
                <w:rStyle w:val="Ninguno"/>
                <w:rFonts w:ascii="Calibri" w:hAnsi="Calibri"/>
              </w:rPr>
              <w:t>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23B34BB9" w14:textId="77777777" w:rsidR="00FA5671" w:rsidRPr="00A74541" w:rsidRDefault="00FA5671" w:rsidP="00280C4C">
            <w:pPr>
              <w:pStyle w:val="Estilodetabla3A"/>
              <w:jc w:val="center"/>
            </w:pPr>
            <w:r w:rsidRPr="00A74541">
              <w:rPr>
                <w:rStyle w:val="Ninguno"/>
              </w:rPr>
              <w:t xml:space="preserve"> LEY 2080 DE 2021</w:t>
            </w:r>
          </w:p>
        </w:tc>
      </w:tr>
      <w:tr w:rsidR="00FA5671" w:rsidRPr="00A87B7F" w14:paraId="36B08F12" w14:textId="77777777" w:rsidTr="00280C4C">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4DBB5F" w14:textId="77777777" w:rsidR="00FA5671" w:rsidRPr="00A74541" w:rsidRDefault="00FA5671" w:rsidP="00280C4C">
            <w:pPr>
              <w:pStyle w:val="Estilodetabla2A"/>
              <w:jc w:val="both"/>
              <w:rPr>
                <w:b/>
                <w:bCs/>
              </w:rPr>
            </w:pPr>
            <w:r w:rsidRPr="00A74541">
              <w:rPr>
                <w:rStyle w:val="Ninguno"/>
                <w:b/>
                <w:bCs/>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21A1DB4"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u w:val="single"/>
              </w:rPr>
            </w:pPr>
            <w:r w:rsidRPr="00A74541">
              <w:rPr>
                <w:rFonts w:ascii="Calibri" w:hAnsi="Calibri" w:cs="Arial"/>
                <w:b/>
                <w:bCs/>
                <w:color w:val="000000"/>
                <w:sz w:val="20"/>
                <w:szCs w:val="20"/>
                <w:u w:val="single"/>
              </w:rPr>
              <w:t>Artículo 250 del CPACA</w:t>
            </w:r>
            <w:r w:rsidRPr="00A74541">
              <w:rPr>
                <w:rFonts w:ascii="Calibri" w:hAnsi="Calibri" w:cs="Arial"/>
                <w:color w:val="000000"/>
                <w:sz w:val="20"/>
                <w:szCs w:val="20"/>
                <w:u w:val="single"/>
              </w:rPr>
              <w:t>:</w:t>
            </w:r>
          </w:p>
          <w:p w14:paraId="5EF25556"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11C0A102"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2. Haberse dictado la sentencia con fundamento en documentos falsos o adulterados. </w:t>
            </w:r>
          </w:p>
          <w:p w14:paraId="25ED7842"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 xml:space="preserve">3. Haberse dictado la sentencia con base en dictamen de peritos </w:t>
            </w:r>
            <w:r w:rsidRPr="00A74541">
              <w:rPr>
                <w:rFonts w:ascii="Calibri" w:hAnsi="Calibri" w:cs="Arial"/>
                <w:color w:val="000000"/>
                <w:sz w:val="20"/>
                <w:szCs w:val="20"/>
              </w:rPr>
              <w:lastRenderedPageBreak/>
              <w:t>condenados penalmente por ilícitos cometidos en su expedición. </w:t>
            </w:r>
          </w:p>
          <w:p w14:paraId="222B4E1A"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4. Haberse dictado sentencia penal que declare que hubo violencia o cohecho en el pronunciamiento de la sentencia. </w:t>
            </w:r>
          </w:p>
          <w:p w14:paraId="725FF1EA"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6. Aparecer, después de dictada la sentencia a favor de una persona, otra con mejor derecho para reclamar. </w:t>
            </w:r>
          </w:p>
          <w:p w14:paraId="65D0A03B"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7. No tener la persona en cuyo favor se decretó una prestación periódica, al tiempo del reconocimiento, la aptitud legal necesaria o perder esa aptitud con posterioridad a la sentencia o sobrevenir alguna de las causales legales para su pérdida.</w:t>
            </w:r>
          </w:p>
          <w:p w14:paraId="0F9FEBF3"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052B8E11"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p>
          <w:p w14:paraId="72F5CBE8" w14:textId="77777777" w:rsidR="00FA5671" w:rsidRPr="00A74541" w:rsidRDefault="00FA5671" w:rsidP="00280C4C">
            <w:pPr>
              <w:pStyle w:val="NormalWeb"/>
              <w:spacing w:before="0" w:beforeAutospacing="0" w:after="144" w:afterAutospacing="0" w:line="254" w:lineRule="atLeast"/>
              <w:jc w:val="both"/>
              <w:rPr>
                <w:rFonts w:ascii="Calibri" w:hAnsi="Calibri" w:cs="Arial"/>
                <w:b/>
                <w:bCs/>
                <w:color w:val="000000"/>
                <w:sz w:val="20"/>
                <w:szCs w:val="20"/>
                <w:u w:val="single"/>
              </w:rPr>
            </w:pPr>
            <w:r w:rsidRPr="00A74541">
              <w:rPr>
                <w:rFonts w:ascii="Calibri" w:hAnsi="Calibri" w:cs="Arial"/>
                <w:b/>
                <w:bCs/>
                <w:color w:val="000000"/>
                <w:sz w:val="20"/>
                <w:szCs w:val="20"/>
                <w:u w:val="single"/>
              </w:rPr>
              <w:t>Artículo 20 de la Ley 797 de 2003:</w:t>
            </w:r>
          </w:p>
          <w:p w14:paraId="5A9C8A27" w14:textId="77777777" w:rsidR="00FA5671" w:rsidRPr="00A74541" w:rsidRDefault="00FA5671" w:rsidP="00280C4C">
            <w:pPr>
              <w:pStyle w:val="NormalWeb"/>
              <w:spacing w:line="270" w:lineRule="atLeast"/>
              <w:jc w:val="both"/>
              <w:rPr>
                <w:rFonts w:ascii="Calibri" w:hAnsi="Calibri" w:cs="Open Sans"/>
                <w:color w:val="000000"/>
                <w:sz w:val="20"/>
                <w:szCs w:val="20"/>
              </w:rPr>
            </w:pPr>
            <w:r w:rsidRPr="00A74541">
              <w:rPr>
                <w:rFonts w:ascii="Calibri" w:hAnsi="Calibri" w:cs="Open Sans"/>
                <w:color w:val="000000"/>
                <w:sz w:val="20"/>
                <w:szCs w:val="20"/>
              </w:rPr>
              <w:t>a) Cuando el reconocimiento se haya obtenido con violación al debido proceso, y</w:t>
            </w:r>
          </w:p>
          <w:p w14:paraId="426CD235" w14:textId="77777777" w:rsidR="00FA5671" w:rsidRPr="00A74541" w:rsidRDefault="00FA5671" w:rsidP="00280C4C">
            <w:pPr>
              <w:pStyle w:val="NormalWeb"/>
              <w:spacing w:line="270" w:lineRule="atLeast"/>
              <w:jc w:val="both"/>
              <w:rPr>
                <w:rFonts w:ascii="Calibri" w:hAnsi="Calibri" w:cs="Open Sans"/>
                <w:color w:val="000000"/>
                <w:sz w:val="20"/>
                <w:szCs w:val="20"/>
              </w:rPr>
            </w:pPr>
            <w:r w:rsidRPr="00A74541">
              <w:rPr>
                <w:rFonts w:ascii="Calibri" w:hAnsi="Calibri" w:cs="Open Sans"/>
                <w:color w:val="000000"/>
                <w:sz w:val="20"/>
                <w:szCs w:val="20"/>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3C92580" w14:textId="77777777" w:rsidR="00FA5671" w:rsidRPr="00A74541" w:rsidRDefault="00FA5671" w:rsidP="00280C4C">
            <w:pPr>
              <w:rPr>
                <w:sz w:val="20"/>
                <w:szCs w:val="20"/>
                <w:lang w:eastAsia="es-ES_tradnl"/>
              </w:rPr>
            </w:pPr>
            <w:r w:rsidRPr="00A74541">
              <w:rPr>
                <w:sz w:val="20"/>
                <w:szCs w:val="20"/>
                <w:lang w:eastAsia="es-ES_tradnl"/>
              </w:rPr>
              <w:lastRenderedPageBreak/>
              <w:t>El artículo 250 no tiene modificación, pero el artículo 255 con su modificación señala que, de encontrarla fundada, invalidará la sentencia revisada y dictará la que en derecho corresponda, resolviendo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w:t>
            </w:r>
          </w:p>
        </w:tc>
      </w:tr>
      <w:tr w:rsidR="00FA5671" w:rsidRPr="00A87B7F" w14:paraId="6E1DDE3D" w14:textId="77777777" w:rsidTr="00280C4C">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E6D6AC6" w14:textId="77777777" w:rsidR="00FA5671" w:rsidRPr="00A74541" w:rsidRDefault="00FA5671" w:rsidP="00280C4C">
            <w:pPr>
              <w:pStyle w:val="Estilodetabla2A"/>
              <w:jc w:val="both"/>
              <w:rPr>
                <w:b/>
                <w:bCs/>
              </w:rPr>
            </w:pPr>
            <w:r w:rsidRPr="00A74541">
              <w:rPr>
                <w:rStyle w:val="Ninguno"/>
                <w:b/>
                <w:bCs/>
              </w:rPr>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6A6017A"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u w:val="single"/>
              </w:rPr>
            </w:pPr>
            <w:r w:rsidRPr="00A74541">
              <w:rPr>
                <w:rFonts w:ascii="Calibri" w:hAnsi="Calibri" w:cs="Arial"/>
                <w:b/>
                <w:bCs/>
                <w:color w:val="000000"/>
                <w:sz w:val="20"/>
                <w:szCs w:val="20"/>
                <w:u w:val="single"/>
              </w:rPr>
              <w:t>Artículo 250 del CPACA:</w:t>
            </w:r>
          </w:p>
          <w:p w14:paraId="19936D1B" w14:textId="77777777" w:rsidR="00FA5671" w:rsidRPr="00A74541" w:rsidRDefault="00FA5671" w:rsidP="00280C4C">
            <w:pPr>
              <w:pStyle w:val="NormalWeb"/>
              <w:spacing w:before="0" w:beforeAutospacing="0" w:after="144" w:afterAutospacing="0" w:line="254" w:lineRule="atLeast"/>
              <w:jc w:val="both"/>
              <w:rPr>
                <w:rFonts w:ascii="Calibri" w:hAnsi="Calibri" w:cs="Arial"/>
                <w:color w:val="000000"/>
                <w:sz w:val="20"/>
                <w:szCs w:val="20"/>
              </w:rPr>
            </w:pPr>
            <w:r w:rsidRPr="00A74541">
              <w:rPr>
                <w:rFonts w:ascii="Calibri" w:hAnsi="Calibri" w:cs="Arial"/>
                <w:color w:val="000000"/>
                <w:sz w:val="20"/>
                <w:szCs w:val="20"/>
              </w:rPr>
              <w:t>5. Existir nulidad originada en la sentencia que puso fin al proceso y contra la que no procede recurso de apelación. </w:t>
            </w:r>
          </w:p>
          <w:p w14:paraId="47CD58BC" w14:textId="77777777" w:rsidR="00FA5671" w:rsidRPr="00A74541" w:rsidRDefault="00FA5671" w:rsidP="00280C4C">
            <w:pPr>
              <w:rPr>
                <w:sz w:val="20"/>
                <w:szCs w:val="20"/>
                <w:lang w:eastAsia="es-ES_tradnl"/>
              </w:rPr>
            </w:pPr>
          </w:p>
          <w:p w14:paraId="2BD1F96B" w14:textId="77777777" w:rsidR="00FA5671" w:rsidRPr="00A74541" w:rsidRDefault="00FA5671" w:rsidP="00280C4C">
            <w:pPr>
              <w:rPr>
                <w:sz w:val="20"/>
                <w:szCs w:val="20"/>
                <w:lang w:eastAsia="es-ES_tradnl"/>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15A3E89" w14:textId="77777777" w:rsidR="00FA5671" w:rsidRPr="00A74541" w:rsidRDefault="00FA5671" w:rsidP="00280C4C">
            <w:pPr>
              <w:rPr>
                <w:sz w:val="20"/>
                <w:szCs w:val="20"/>
                <w:lang w:eastAsia="es-ES_tradnl"/>
              </w:rPr>
            </w:pPr>
            <w:r w:rsidRPr="00A74541">
              <w:rPr>
                <w:rFonts w:ascii="Open Sans" w:hAnsi="Open Sans" w:cs="Open Sans"/>
                <w:color w:val="4B4949"/>
                <w:sz w:val="18"/>
                <w:szCs w:val="18"/>
                <w:lang w:eastAsia="es-ES_tradnl"/>
              </w:rPr>
              <w:t>El artículo 250 no tiene modificación, pero el artículo 255 con su modificación señala que, de encontrarla fundada 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w:t>
            </w:r>
            <w:hyperlink r:id="rId8" w:anchor="193" w:history="1">
              <w:r w:rsidRPr="00A74541">
                <w:rPr>
                  <w:rStyle w:val="Hipervnculo"/>
                  <w:rFonts w:ascii="Open Sans" w:hAnsi="Open Sans" w:cs="Open Sans"/>
                  <w:color w:val="0073FF"/>
                  <w:sz w:val="18"/>
                  <w:szCs w:val="18"/>
                  <w:lang w:eastAsia="es-ES_tradnl"/>
                </w:rPr>
                <w:t>193</w:t>
              </w:r>
            </w:hyperlink>
            <w:r w:rsidRPr="00A74541">
              <w:rPr>
                <w:rFonts w:ascii="Open Sans" w:hAnsi="Open Sans" w:cs="Open Sans"/>
                <w:color w:val="4B4949"/>
                <w:sz w:val="18"/>
                <w:szCs w:val="18"/>
                <w:lang w:eastAsia="es-ES_tradnl"/>
              </w:rPr>
              <w:t> de este código.</w:t>
            </w:r>
          </w:p>
        </w:tc>
      </w:tr>
      <w:tr w:rsidR="00FA5671" w:rsidRPr="00A87B7F" w14:paraId="222B69D3" w14:textId="77777777" w:rsidTr="00280C4C">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AE3CD83" w14:textId="77777777" w:rsidR="00FA5671" w:rsidRPr="00A74541" w:rsidRDefault="00FA5671" w:rsidP="00280C4C">
            <w:pPr>
              <w:pStyle w:val="Estilodetabla2A"/>
              <w:jc w:val="both"/>
              <w:rPr>
                <w:b/>
                <w:bCs/>
              </w:rPr>
            </w:pPr>
            <w:r w:rsidRPr="00A74541">
              <w:rPr>
                <w:rStyle w:val="Ninguno"/>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04FDE19" w14:textId="77777777" w:rsidR="00FA5671" w:rsidRPr="00A74541" w:rsidRDefault="00FA5671" w:rsidP="00280C4C">
            <w:pPr>
              <w:jc w:val="center"/>
              <w:rPr>
                <w:rFonts w:ascii="Calibri" w:hAnsi="Calibri"/>
                <w:sz w:val="20"/>
                <w:szCs w:val="20"/>
                <w:lang w:eastAsia="es-ES_tradnl"/>
              </w:rPr>
            </w:pPr>
            <w:r w:rsidRPr="00A74541">
              <w:rPr>
                <w:rFonts w:ascii="Calibri" w:hAnsi="Calibri"/>
                <w:sz w:val="20"/>
                <w:szCs w:val="20"/>
                <w:lang w:eastAsia="es-ES_tradnl"/>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08582B" w14:textId="77777777" w:rsidR="00FA5671" w:rsidRPr="00A74541" w:rsidRDefault="00FA5671" w:rsidP="00280C4C">
            <w:pPr>
              <w:rPr>
                <w:sz w:val="20"/>
                <w:szCs w:val="20"/>
                <w:lang w:eastAsia="es-ES_tradnl"/>
              </w:rPr>
            </w:pPr>
            <w:r w:rsidRPr="00A74541">
              <w:rPr>
                <w:sz w:val="20"/>
                <w:szCs w:val="20"/>
                <w:lang w:eastAsia="es-ES_tradnl"/>
              </w:rPr>
              <w:t>Se señala que se condenará en costa y perjuicios</w:t>
            </w:r>
          </w:p>
        </w:tc>
      </w:tr>
      <w:tr w:rsidR="00FA5671" w:rsidRPr="00A87B7F" w14:paraId="6C8BA8E7" w14:textId="77777777" w:rsidTr="00280C4C">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879565" w14:textId="77777777" w:rsidR="00FA5671" w:rsidRPr="00A74541" w:rsidRDefault="00FA5671" w:rsidP="00280C4C">
            <w:pPr>
              <w:pStyle w:val="Estilodetabla2A"/>
              <w:jc w:val="both"/>
              <w:rPr>
                <w:b/>
                <w:bCs/>
              </w:rPr>
            </w:pPr>
            <w:r w:rsidRPr="00A74541">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7B4A6A" w14:textId="77777777" w:rsidR="00FA5671" w:rsidRPr="00A74541" w:rsidRDefault="00FA5671" w:rsidP="00280C4C">
            <w:pPr>
              <w:jc w:val="center"/>
              <w:rPr>
                <w:sz w:val="20"/>
                <w:szCs w:val="20"/>
                <w:lang w:eastAsia="es-ES_tradnl"/>
              </w:rPr>
            </w:pPr>
            <w:r w:rsidRPr="00A74541">
              <w:rPr>
                <w:sz w:val="20"/>
                <w:szCs w:val="20"/>
                <w:lang w:eastAsia="es-ES_tradnl"/>
              </w:rPr>
              <w:t>Nada se decía al respecto</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E28EC2" w14:textId="77777777" w:rsidR="00FA5671" w:rsidRPr="00A74541" w:rsidRDefault="00FA5671" w:rsidP="00280C4C">
            <w:pPr>
              <w:rPr>
                <w:sz w:val="20"/>
                <w:szCs w:val="20"/>
                <w:lang w:eastAsia="es-ES_tradnl"/>
              </w:rPr>
            </w:pPr>
            <w:r w:rsidRPr="00A74541">
              <w:rPr>
                <w:sz w:val="20"/>
                <w:szCs w:val="20"/>
                <w:lang w:eastAsia="es-ES_tradnl"/>
              </w:rPr>
              <w:t xml:space="preserve">En el artículo 255 se señala expresamente los efectos de </w:t>
            </w:r>
            <w:proofErr w:type="gramStart"/>
            <w:r w:rsidRPr="00A74541">
              <w:rPr>
                <w:sz w:val="20"/>
                <w:szCs w:val="20"/>
                <w:lang w:eastAsia="es-ES_tradnl"/>
              </w:rPr>
              <w:t>un sentencia estimativa</w:t>
            </w:r>
            <w:proofErr w:type="gramEnd"/>
            <w:r w:rsidRPr="00A74541">
              <w:rPr>
                <w:sz w:val="20"/>
                <w:szCs w:val="20"/>
                <w:lang w:eastAsia="es-ES_tradnl"/>
              </w:rPr>
              <w:t xml:space="preserve"> del recurso</w:t>
            </w:r>
          </w:p>
        </w:tc>
      </w:tr>
    </w:tbl>
    <w:p w14:paraId="44DB8CA5" w14:textId="77777777" w:rsidR="00FA5671" w:rsidRDefault="00FA5671"/>
    <w:p w14:paraId="35AF70FB" w14:textId="77777777" w:rsidR="00FA5671" w:rsidRDefault="00FA5671"/>
    <w:p w14:paraId="268E1B43" w14:textId="77777777" w:rsidR="00FA5671" w:rsidRDefault="00FA5671" w:rsidP="00FA5671"/>
    <w:tbl>
      <w:tblPr>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CellMar>
          <w:left w:w="0" w:type="dxa"/>
          <w:right w:w="0" w:type="dxa"/>
        </w:tblCellMar>
        <w:tblLook w:val="04A0" w:firstRow="1" w:lastRow="0" w:firstColumn="1" w:lastColumn="0" w:noHBand="0" w:noVBand="1"/>
      </w:tblPr>
      <w:tblGrid>
        <w:gridCol w:w="3120"/>
        <w:gridCol w:w="2613"/>
        <w:gridCol w:w="2835"/>
      </w:tblGrid>
      <w:tr w:rsidR="00FA5671" w14:paraId="2F317FAA" w14:textId="77777777" w:rsidTr="00280C4C">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34B89728" w14:textId="77777777" w:rsidR="00FA5671" w:rsidRPr="00A74541" w:rsidRDefault="00FA5671" w:rsidP="00280C4C">
            <w:pPr>
              <w:keepNext/>
              <w:tabs>
                <w:tab w:val="left" w:pos="708"/>
                <w:tab w:val="left" w:pos="1416"/>
                <w:tab w:val="left" w:pos="2124"/>
                <w:tab w:val="left" w:pos="2832"/>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88BADC1" w14:textId="77777777" w:rsidR="00FA5671" w:rsidRPr="00A74541" w:rsidRDefault="00FA5671" w:rsidP="00280C4C">
            <w:pPr>
              <w:keepNext/>
              <w:tabs>
                <w:tab w:val="left" w:pos="708"/>
                <w:tab w:val="left" w:pos="1416"/>
                <w:tab w:val="left" w:pos="2124"/>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11957EE3" w14:textId="77777777" w:rsidR="00FA5671" w:rsidRPr="00A74541" w:rsidRDefault="00FA5671" w:rsidP="00280C4C">
            <w:pPr>
              <w:keepNext/>
              <w:tabs>
                <w:tab w:val="left" w:pos="708"/>
                <w:tab w:val="left" w:pos="1416"/>
                <w:tab w:val="left" w:pos="2124"/>
                <w:tab w:val="left" w:pos="2832"/>
              </w:tabs>
              <w:jc w:val="center"/>
              <w:rPr>
                <w:sz w:val="20"/>
                <w:szCs w:val="20"/>
                <w:lang w:eastAsia="es-ES_tradnl"/>
              </w:rPr>
            </w:pPr>
            <w:r w:rsidRPr="00A74541">
              <w:rPr>
                <w:rStyle w:val="Ninguno"/>
                <w:rFonts w:ascii="Helvetica Neue" w:hAnsi="Helvetica Neue" w:cs="Arial Unicode MS"/>
                <w:b/>
                <w:bCs/>
                <w:color w:val="FFFFFF"/>
                <w:sz w:val="20"/>
                <w:szCs w:val="20"/>
                <w:u w:color="FFFFFF"/>
                <w:lang w:eastAsia="es-ES_tradnl"/>
              </w:rPr>
              <w:t>LEY 2080 DE 2021</w:t>
            </w:r>
          </w:p>
        </w:tc>
      </w:tr>
      <w:tr w:rsidR="00FA5671" w14:paraId="0A80E0A2" w14:textId="77777777" w:rsidTr="00280C4C">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8FB7540"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1CDDF96" w14:textId="77777777" w:rsidR="00FA5671" w:rsidRPr="00A74541" w:rsidRDefault="00FA5671" w:rsidP="00280C4C">
            <w:pPr>
              <w:tabs>
                <w:tab w:val="left" w:pos="708"/>
                <w:tab w:val="left" w:pos="1416"/>
                <w:tab w:val="left" w:pos="2124"/>
              </w:tabs>
              <w:spacing w:line="254" w:lineRule="atLeast"/>
              <w:jc w:val="both"/>
              <w:rPr>
                <w:rStyle w:val="Ninguno"/>
                <w:rFonts w:ascii="Helvetica Neue" w:eastAsia="Helvetica Neue" w:hAnsi="Helvetica Neue" w:cs="Helvetica Neue"/>
                <w:color w:val="000000"/>
                <w:sz w:val="20"/>
                <w:szCs w:val="20"/>
                <w:u w:color="000000"/>
                <w:lang w:eastAsia="es-ES_tradnl"/>
              </w:rPr>
            </w:pPr>
            <w:r w:rsidRPr="00A74541">
              <w:rPr>
                <w:rStyle w:val="Ninguno"/>
                <w:rFonts w:ascii="Helvetica Neue" w:hAnsi="Helvetica Neue" w:cs="Arial Unicode MS"/>
                <w:color w:val="000000"/>
                <w:sz w:val="20"/>
                <w:szCs w:val="20"/>
                <w:u w:color="000000"/>
                <w:lang w:eastAsia="es-ES_tradnl"/>
              </w:rPr>
              <w:t xml:space="preserve">Son susceptibles de este mecanismo: </w:t>
            </w:r>
          </w:p>
          <w:p w14:paraId="52072DF8" w14:textId="77777777" w:rsidR="00FA5671" w:rsidRPr="00A74541" w:rsidRDefault="00FA5671" w:rsidP="00280C4C">
            <w:pPr>
              <w:numPr>
                <w:ilvl w:val="0"/>
                <w:numId w:val="1"/>
              </w:numPr>
              <w:spacing w:line="254" w:lineRule="atLeast"/>
              <w:jc w:val="both"/>
              <w:rPr>
                <w:rFonts w:ascii="Arial" w:hAnsi="Arial" w:cs="Arial Unicode MS"/>
                <w:color w:val="000000"/>
                <w:sz w:val="20"/>
                <w:szCs w:val="20"/>
                <w:u w:color="000000"/>
                <w:shd w:val="clear" w:color="auto" w:fill="E0E0E0"/>
                <w:lang w:val="es-ES_tradnl" w:eastAsia="es-ES_tradnl"/>
              </w:rPr>
            </w:pPr>
            <w:r w:rsidRPr="00A74541">
              <w:rPr>
                <w:rStyle w:val="Ninguno"/>
                <w:rFonts w:ascii="Helvetica Neue" w:hAnsi="Helvetica Neue" w:cs="Arial Unicode MS"/>
                <w:color w:val="000000"/>
                <w:sz w:val="20"/>
                <w:szCs w:val="20"/>
                <w:u w:color="000000"/>
                <w:lang w:eastAsia="es-ES_tradnl"/>
              </w:rPr>
              <w:t xml:space="preserve">Los asuntos pendientes de fallo en el Consejo de Estado. </w:t>
            </w:r>
          </w:p>
          <w:p w14:paraId="787B70F0" w14:textId="77777777" w:rsidR="00FA5671" w:rsidRPr="00A74541" w:rsidRDefault="00FA5671" w:rsidP="00280C4C">
            <w:pPr>
              <w:numPr>
                <w:ilvl w:val="0"/>
                <w:numId w:val="1"/>
              </w:numPr>
              <w:spacing w:line="254" w:lineRule="atLeast"/>
              <w:jc w:val="both"/>
              <w:rPr>
                <w:rFonts w:ascii="Arial" w:hAnsi="Arial" w:cs="Arial Unicode MS"/>
                <w:color w:val="000000"/>
                <w:sz w:val="20"/>
                <w:szCs w:val="20"/>
                <w:u w:color="000000"/>
                <w:shd w:val="clear" w:color="auto" w:fill="E0E0E0"/>
                <w:lang w:val="es-ES_tradnl" w:eastAsia="es-ES_tradnl"/>
              </w:rPr>
            </w:pPr>
            <w:r w:rsidRPr="00A74541">
              <w:rPr>
                <w:rStyle w:val="Ninguno"/>
                <w:rFonts w:ascii="Helvetica Neue" w:hAnsi="Helvetica Neue" w:cs="Arial Unicode MS"/>
                <w:color w:val="000000"/>
                <w:sz w:val="20"/>
                <w:szCs w:val="20"/>
                <w:u w:color="000000"/>
                <w:lang w:eastAsia="es-ES_tradnl"/>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2A8A2F8" w14:textId="77777777" w:rsidR="00FA5671" w:rsidRPr="00A74541" w:rsidRDefault="00FA5671" w:rsidP="00280C4C">
            <w:pPr>
              <w:rPr>
                <w:sz w:val="20"/>
                <w:szCs w:val="20"/>
                <w:lang w:eastAsia="es-ES_tradnl"/>
              </w:rPr>
            </w:pPr>
            <w:r w:rsidRPr="00A74541">
              <w:rPr>
                <w:sz w:val="20"/>
                <w:szCs w:val="20"/>
                <w:lang w:eastAsia="es-ES_tradnl"/>
              </w:rPr>
              <w:t>El artículo 271 establece luego de la modificación que además serán susceptibles todos los asuntos pendientes de fallo, incluidos los que cursen en los despachos de los “magistrados” del consejo de estado.</w:t>
            </w:r>
          </w:p>
        </w:tc>
      </w:tr>
      <w:tr w:rsidR="00FA5671" w14:paraId="47B37451" w14:textId="77777777" w:rsidTr="00280C4C">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D3666D8"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B142496" w14:textId="77777777" w:rsidR="00FA5671" w:rsidRPr="00A74541" w:rsidRDefault="00FA5671" w:rsidP="00280C4C">
            <w:pPr>
              <w:numPr>
                <w:ilvl w:val="0"/>
                <w:numId w:val="2"/>
              </w:numPr>
              <w:rPr>
                <w:rFonts w:ascii="Helvetica Neue" w:hAnsi="Helvetica Neue"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El Consejo de Estado de oficio.</w:t>
            </w:r>
          </w:p>
          <w:p w14:paraId="4ECC9091" w14:textId="77777777" w:rsidR="00FA5671" w:rsidRPr="00A74541" w:rsidRDefault="00FA5671" w:rsidP="00280C4C">
            <w:pPr>
              <w:numPr>
                <w:ilvl w:val="0"/>
                <w:numId w:val="2"/>
              </w:numPr>
              <w:rPr>
                <w:rFonts w:ascii="Helvetica Neue" w:hAnsi="Helvetica Neue"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A solicitud de parte.</w:t>
            </w:r>
          </w:p>
          <w:p w14:paraId="18D2F11B" w14:textId="77777777" w:rsidR="00FA5671" w:rsidRPr="00A74541" w:rsidRDefault="00FA5671" w:rsidP="00280C4C">
            <w:pPr>
              <w:numPr>
                <w:ilvl w:val="0"/>
                <w:numId w:val="2"/>
              </w:numPr>
              <w:rPr>
                <w:rFonts w:ascii="Helvetica Neue" w:hAnsi="Helvetica Neue"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 xml:space="preserve">Los Tribunales por remisión de los asuntos que conocen en única o segunda instancia. </w:t>
            </w:r>
          </w:p>
          <w:p w14:paraId="6F7857E5" w14:textId="77777777" w:rsidR="00FA5671" w:rsidRPr="00A74541" w:rsidRDefault="00FA5671" w:rsidP="00280C4C">
            <w:pPr>
              <w:numPr>
                <w:ilvl w:val="0"/>
                <w:numId w:val="2"/>
              </w:numPr>
              <w:rPr>
                <w:rFonts w:ascii="Helvetica Neue" w:hAnsi="Helvetica Neue"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D0EA25" w14:textId="77777777" w:rsidR="00FA5671" w:rsidRPr="00A74541" w:rsidRDefault="00FA5671" w:rsidP="00280C4C">
            <w:pPr>
              <w:rPr>
                <w:sz w:val="20"/>
                <w:szCs w:val="20"/>
                <w:lang w:eastAsia="es-ES_tradnl"/>
              </w:rPr>
            </w:pPr>
            <w:r w:rsidRPr="00A74541">
              <w:rPr>
                <w:sz w:val="20"/>
                <w:szCs w:val="20"/>
                <w:lang w:eastAsia="es-ES_tradnl"/>
              </w:rPr>
              <w:t>Con la modificación el artículo 271, incluyó como legitimada a la ANDJE.</w:t>
            </w:r>
          </w:p>
        </w:tc>
      </w:tr>
      <w:tr w:rsidR="00FA5671" w14:paraId="3560A39F" w14:textId="77777777" w:rsidTr="00280C4C">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A823066"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87A53F" w14:textId="77777777" w:rsidR="00FA5671" w:rsidRPr="00A74541" w:rsidRDefault="00FA5671" w:rsidP="00280C4C">
            <w:pPr>
              <w:numPr>
                <w:ilvl w:val="0"/>
                <w:numId w:val="3"/>
              </w:numPr>
              <w:rPr>
                <w:rFonts w:ascii="Helvetica Neue" w:hAnsi="Helvetica Neue"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 xml:space="preserve">Sala Plena de lo Contencioso Administrativo del Consejo de Estado cuando los asuntos provengan de sus secciones. </w:t>
            </w:r>
          </w:p>
          <w:p w14:paraId="11DB6D2E" w14:textId="77777777" w:rsidR="00FA5671" w:rsidRPr="00A74541" w:rsidRDefault="00FA5671" w:rsidP="00280C4C">
            <w:pPr>
              <w:numPr>
                <w:ilvl w:val="0"/>
                <w:numId w:val="4"/>
              </w:numPr>
              <w:rPr>
                <w:rFonts w:cs="Arial Unicode MS"/>
                <w:color w:val="000000"/>
                <w:sz w:val="20"/>
                <w:szCs w:val="20"/>
                <w:u w:color="000000"/>
                <w:lang w:val="es-ES_tradnl" w:eastAsia="es-ES_tradnl"/>
              </w:rPr>
            </w:pPr>
            <w:r w:rsidRPr="00A74541">
              <w:rPr>
                <w:rStyle w:val="Ninguno"/>
                <w:rFonts w:ascii="Helvetica Neue" w:hAnsi="Helvetica Neue" w:cs="Arial Unicode MS"/>
                <w:color w:val="000000"/>
                <w:sz w:val="20"/>
                <w:szCs w:val="20"/>
                <w:u w:color="000000"/>
                <w:lang w:eastAsia="es-ES_tradnl"/>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9F84AF7" w14:textId="77777777" w:rsidR="00FA5671" w:rsidRPr="00A74541" w:rsidRDefault="00FA5671" w:rsidP="00280C4C">
            <w:pPr>
              <w:rPr>
                <w:sz w:val="20"/>
                <w:szCs w:val="20"/>
                <w:lang w:eastAsia="es-ES_tradnl"/>
              </w:rPr>
            </w:pPr>
            <w:r w:rsidRPr="00A74541">
              <w:rPr>
                <w:sz w:val="20"/>
                <w:szCs w:val="20"/>
                <w:lang w:eastAsia="es-ES_tradnl"/>
              </w:rPr>
              <w:t xml:space="preserve">La modificación del artículo 271 señala sobre aspectos procesales transversales que la competencia es de la Sala Plena del Consejo de Estado. </w:t>
            </w:r>
          </w:p>
        </w:tc>
      </w:tr>
      <w:tr w:rsidR="00FA5671" w14:paraId="644AA641" w14:textId="77777777" w:rsidTr="00280C4C">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71E5F3"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78F774A" w14:textId="77777777" w:rsidR="00FA5671" w:rsidRPr="00A74541" w:rsidRDefault="00FA5671" w:rsidP="00280C4C">
            <w:pPr>
              <w:pStyle w:val="Cuerpo"/>
              <w:tabs>
                <w:tab w:val="left" w:pos="708"/>
                <w:tab w:val="left" w:pos="1416"/>
                <w:tab w:val="left" w:pos="2124"/>
              </w:tabs>
              <w:jc w:val="both"/>
            </w:pPr>
            <w:r w:rsidRPr="00A74541">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5E02DD1" w14:textId="77777777" w:rsidR="00FA5671" w:rsidRPr="00A74541" w:rsidRDefault="00FA5671" w:rsidP="00280C4C">
            <w:pPr>
              <w:rPr>
                <w:sz w:val="20"/>
                <w:szCs w:val="20"/>
                <w:lang w:eastAsia="es-ES_tradnl"/>
              </w:rPr>
            </w:pPr>
            <w:r w:rsidRPr="00A74541">
              <w:rPr>
                <w:sz w:val="20"/>
                <w:szCs w:val="20"/>
                <w:lang w:eastAsia="es-ES_tradnl"/>
              </w:rPr>
              <w:t>El artículo 271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w:t>
            </w:r>
          </w:p>
        </w:tc>
      </w:tr>
      <w:tr w:rsidR="00FA5671" w14:paraId="69ED9CA7" w14:textId="77777777" w:rsidTr="00280C4C">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D90B12"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78A63E5" w14:textId="77777777" w:rsidR="00FA5671" w:rsidRPr="00A74541" w:rsidRDefault="00FA5671" w:rsidP="00280C4C">
            <w:pPr>
              <w:pStyle w:val="Cuerpo"/>
              <w:tabs>
                <w:tab w:val="left" w:pos="708"/>
                <w:tab w:val="left" w:pos="1416"/>
                <w:tab w:val="left" w:pos="2124"/>
              </w:tabs>
              <w:jc w:val="both"/>
            </w:pPr>
            <w:r w:rsidRPr="00A74541">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326FE10" w14:textId="77777777" w:rsidR="00FA5671" w:rsidRPr="00A74541" w:rsidRDefault="00FA5671" w:rsidP="00280C4C">
            <w:pPr>
              <w:rPr>
                <w:sz w:val="20"/>
                <w:szCs w:val="20"/>
                <w:lang w:eastAsia="es-ES_tradnl"/>
              </w:rPr>
            </w:pPr>
            <w:r w:rsidRPr="00A74541">
              <w:rPr>
                <w:sz w:val="20"/>
                <w:szCs w:val="20"/>
                <w:lang w:eastAsia="es-ES_tradnl"/>
              </w:rPr>
              <w:t>Se añade una causal, la de precisar el alcance o resolver divergencias en la interpretación y aplicación de la jurisprudencia,</w:t>
            </w:r>
          </w:p>
        </w:tc>
      </w:tr>
      <w:tr w:rsidR="00FA5671" w14:paraId="4F46E352" w14:textId="77777777" w:rsidTr="00280C4C">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B9FA1A3" w14:textId="77777777" w:rsidR="00FA5671" w:rsidRPr="00A74541" w:rsidRDefault="00FA5671" w:rsidP="00280C4C">
            <w:pPr>
              <w:tabs>
                <w:tab w:val="left" w:pos="708"/>
                <w:tab w:val="left" w:pos="1416"/>
                <w:tab w:val="left" w:pos="2124"/>
                <w:tab w:val="left" w:pos="2832"/>
              </w:tabs>
              <w:jc w:val="both"/>
              <w:rPr>
                <w:sz w:val="20"/>
                <w:szCs w:val="20"/>
                <w:lang w:eastAsia="es-ES_tradnl"/>
              </w:rPr>
            </w:pPr>
            <w:r w:rsidRPr="00A74541">
              <w:rPr>
                <w:rStyle w:val="Ninguno"/>
                <w:rFonts w:ascii="Helvetica Neue" w:hAnsi="Helvetica Neue" w:cs="Arial Unicode MS"/>
                <w:b/>
                <w:bCs/>
                <w:color w:val="000000"/>
                <w:sz w:val="20"/>
                <w:szCs w:val="20"/>
                <w:u w:color="000000"/>
                <w:lang w:eastAsia="es-ES_tradnl"/>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608C46E" w14:textId="77777777" w:rsidR="00FA5671" w:rsidRPr="00A74541" w:rsidRDefault="00FA5671" w:rsidP="00280C4C">
            <w:pPr>
              <w:pStyle w:val="Cuerpo"/>
              <w:tabs>
                <w:tab w:val="left" w:pos="708"/>
                <w:tab w:val="left" w:pos="1416"/>
                <w:tab w:val="left" w:pos="2124"/>
              </w:tabs>
            </w:pPr>
            <w:r w:rsidRPr="00A74541">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647E1C" w14:textId="77777777" w:rsidR="00FA5671" w:rsidRPr="00A74541" w:rsidRDefault="00FA5671" w:rsidP="00280C4C">
            <w:pPr>
              <w:rPr>
                <w:sz w:val="20"/>
                <w:szCs w:val="20"/>
                <w:lang w:eastAsia="es-ES_tradnl"/>
              </w:rPr>
            </w:pPr>
            <w:r w:rsidRPr="00A74541">
              <w:rPr>
                <w:sz w:val="20"/>
                <w:szCs w:val="20"/>
                <w:lang w:eastAsia="es-ES_tradnl"/>
              </w:rPr>
              <w:t xml:space="preserve">El parágrafo del artículo 271 </w:t>
            </w:r>
            <w:proofErr w:type="spellStart"/>
            <w:r w:rsidRPr="00A74541">
              <w:rPr>
                <w:sz w:val="20"/>
                <w:szCs w:val="20"/>
                <w:lang w:eastAsia="es-ES_tradnl"/>
              </w:rPr>
              <w:t>ispuso</w:t>
            </w:r>
            <w:proofErr w:type="spellEnd"/>
            <w:r w:rsidRPr="00A74541">
              <w:rPr>
                <w:sz w:val="20"/>
                <w:szCs w:val="20"/>
                <w:lang w:eastAsia="es-ES_tradnl"/>
              </w:rPr>
              <w:t xml:space="preserve"> implementar un mecanismo electrónico que permita identificar en el Consejo de Estados, tribunales y juzgados administrativos las materias y temas que deban ser objeto del mecanismo de unificación de jurisprudencia.</w:t>
            </w:r>
          </w:p>
        </w:tc>
      </w:tr>
    </w:tbl>
    <w:p w14:paraId="6D8B90E3" w14:textId="77777777" w:rsidR="00FA5671" w:rsidRPr="00A74541" w:rsidRDefault="00FA5671" w:rsidP="00FA5671">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rPr>
      </w:pPr>
    </w:p>
    <w:p w14:paraId="1E4234FA" w14:textId="77777777" w:rsidR="00FA5671" w:rsidRPr="00A74541" w:rsidRDefault="00FA5671" w:rsidP="00FA5671">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rPr>
      </w:pPr>
    </w:p>
    <w:p w14:paraId="6CF70C7F" w14:textId="77777777" w:rsidR="00FA5671" w:rsidRDefault="00FA5671" w:rsidP="00FA5671"/>
    <w:p w14:paraId="5CA74E62" w14:textId="77777777" w:rsidR="00FA5671" w:rsidRDefault="00FA5671">
      <w:bookmarkStart w:id="0" w:name="_GoBack"/>
      <w:bookmarkEnd w:id="0"/>
    </w:p>
    <w:sectPr w:rsidR="00FA56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71"/>
    <w:rsid w:val="0009546F"/>
    <w:rsid w:val="000C29EA"/>
    <w:rsid w:val="001F19E7"/>
    <w:rsid w:val="00487286"/>
    <w:rsid w:val="00613883"/>
    <w:rsid w:val="00FA56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C24D"/>
  <w15:chartTrackingRefBased/>
  <w15:docId w15:val="{CD7EE6E4-BFF4-4868-B282-7E94F2F8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567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FA5671"/>
    <w:rPr>
      <w:lang w:val="es-ES_tradnl"/>
    </w:rPr>
  </w:style>
  <w:style w:type="paragraph" w:customStyle="1" w:styleId="Cuerpo">
    <w:name w:val="Cuerpo"/>
    <w:rsid w:val="00FA567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rPr>
  </w:style>
  <w:style w:type="paragraph" w:customStyle="1" w:styleId="Estilodetabla3A">
    <w:name w:val="Estilo de tabla 3 A"/>
    <w:rsid w:val="00FA5671"/>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FFFFFF"/>
      <w:sz w:val="20"/>
      <w:szCs w:val="20"/>
      <w:u w:color="FFFFFF"/>
      <w:bdr w:val="nil"/>
      <w:lang w:val="es-ES_tradnl" w:eastAsia="es-ES_tradnl"/>
    </w:rPr>
  </w:style>
  <w:style w:type="paragraph" w:customStyle="1" w:styleId="Estilodetabla2A">
    <w:name w:val="Estilo de tabla 2 A"/>
    <w:rsid w:val="00FA5671"/>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eastAsia="es-ES_tradnl"/>
    </w:rPr>
  </w:style>
  <w:style w:type="paragraph" w:styleId="NormalWeb">
    <w:name w:val="Normal (Web)"/>
    <w:basedOn w:val="Normal"/>
    <w:uiPriority w:val="99"/>
    <w:unhideWhenUsed/>
    <w:rsid w:val="00FA56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ES_tradnl"/>
    </w:rPr>
  </w:style>
  <w:style w:type="character" w:styleId="Hipervnculo">
    <w:name w:val="Hyperlink"/>
    <w:uiPriority w:val="99"/>
    <w:semiHidden/>
    <w:unhideWhenUsed/>
    <w:rsid w:val="00FA5671"/>
    <w:rPr>
      <w:color w:val="0000FF"/>
      <w:u w:val="single"/>
    </w:rPr>
  </w:style>
  <w:style w:type="paragraph" w:customStyle="1" w:styleId="Predeterminado">
    <w:name w:val="Predeterminado"/>
    <w:rsid w:val="00FA567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_pr004.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7F61485B5FE746AD6CA484C114D496" ma:contentTypeVersion="14" ma:contentTypeDescription="Crear nuevo documento." ma:contentTypeScope="" ma:versionID="c3f120862e1e59e579c55106eb4995ef">
  <xsd:schema xmlns:xsd="http://www.w3.org/2001/XMLSchema" xmlns:xs="http://www.w3.org/2001/XMLSchema" xmlns:p="http://schemas.microsoft.com/office/2006/metadata/properties" xmlns:ns3="accbf43d-eef2-4adb-b083-3944b453042b" xmlns:ns4="09433766-556a-415f-8c56-cc6a37d7a0ed" targetNamespace="http://schemas.microsoft.com/office/2006/metadata/properties" ma:root="true" ma:fieldsID="6516ba76b45ebb8620a015947f6efb99" ns3:_="" ns4:_="">
    <xsd:import namespace="accbf43d-eef2-4adb-b083-3944b453042b"/>
    <xsd:import namespace="09433766-556a-415f-8c56-cc6a37d7a0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bf43d-eef2-4adb-b083-3944b4530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433766-556a-415f-8c56-cc6a37d7a0e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8065C-5636-4EB5-96DB-18EB172F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bf43d-eef2-4adb-b083-3944b453042b"/>
    <ds:schemaRef ds:uri="09433766-556a-415f-8c56-cc6a37d7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5695D-8D53-4B30-8A36-E36034EF4DCE}">
  <ds:schemaRefs>
    <ds:schemaRef ds:uri="http://schemas.microsoft.com/sharepoint/v3/contenttype/forms"/>
  </ds:schemaRefs>
</ds:datastoreItem>
</file>

<file path=customXml/itemProps3.xml><?xml version="1.0" encoding="utf-8"?>
<ds:datastoreItem xmlns:ds="http://schemas.openxmlformats.org/officeDocument/2006/customXml" ds:itemID="{F84AF74A-D2FF-4674-9395-4AA642FD3B26}">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09433766-556a-415f-8c56-cc6a37d7a0ed"/>
    <ds:schemaRef ds:uri="accbf43d-eef2-4adb-b083-3944b453042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5786</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Burbano</dc:creator>
  <cp:keywords/>
  <dc:description/>
  <cp:lastModifiedBy>Diego Fernando Burbano</cp:lastModifiedBy>
  <cp:revision>1</cp:revision>
  <dcterms:created xsi:type="dcterms:W3CDTF">2021-09-20T00:50:00Z</dcterms:created>
  <dcterms:modified xsi:type="dcterms:W3CDTF">2021-09-20T00:52:00Z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0x0101001D7F61485B5FE746AD6CA484C114D496</vt:lpwstr>
  </property>
</Properties>
</file>