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eastAsia="Helvetica" w:hAnsi="Arial" w:cs="Arial"/>
          <w:sz w:val="20"/>
          <w:szCs w:val="22"/>
          <w:u w:color="000000"/>
        </w:rPr>
      </w:pPr>
      <w:r w:rsidRPr="00A03113">
        <w:rPr>
          <w:rStyle w:val="Ninguno"/>
          <w:rFonts w:ascii="Arial" w:hAnsi="Arial" w:cs="Arial"/>
          <w:b/>
          <w:bCs/>
          <w:sz w:val="20"/>
          <w:szCs w:val="22"/>
          <w:u w:color="000000"/>
        </w:rPr>
        <w:t>EQUIPO ESTRUCTURADOR PARA LOS TALLERES DE CAPACITACIÓN E IMPLEMENTACIÓN DE LA LEY 2080 DE 2021 (Resolución PCSJSR21-048 de 24 de mayo de 2021. Consejo Superior de la Judicatura)</w:t>
      </w:r>
      <w:r w:rsidRPr="00A03113">
        <w:rPr>
          <w:rStyle w:val="Ninguno"/>
          <w:rFonts w:ascii="Arial" w:hAnsi="Arial" w:cs="Arial"/>
          <w:sz w:val="20"/>
          <w:szCs w:val="22"/>
          <w:u w:color="000000"/>
        </w:rPr>
        <w:t> </w:t>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hAnsi="Arial" w:cs="Arial"/>
          <w:b/>
          <w:bCs/>
          <w:sz w:val="20"/>
          <w:szCs w:val="22"/>
          <w:u w:val="single"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eastAsia="Calibri" w:hAnsi="Arial" w:cs="Arial"/>
          <w:b/>
          <w:bCs/>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eastAsia="Calibri" w:hAnsi="Arial" w:cs="Arial"/>
          <w:b/>
          <w:bCs/>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eastAsia="Helvetica" w:hAnsi="Arial" w:cs="Arial"/>
          <w:b/>
          <w:bCs/>
          <w:sz w:val="20"/>
          <w:szCs w:val="22"/>
          <w:u w:val="single" w:color="000000"/>
          <w14:textOutline w14:w="12700" w14:cap="flat" w14:cmpd="sng" w14:algn="ctr">
            <w14:noFill/>
            <w14:prstDash w14:val="solid"/>
            <w14:miter w14:lim="400000"/>
          </w14:textOutline>
        </w:rPr>
      </w:pPr>
      <w:r w:rsidRPr="00A03113">
        <w:rPr>
          <w:rStyle w:val="Ninguno"/>
          <w:rFonts w:ascii="Arial" w:hAnsi="Arial" w:cs="Arial"/>
          <w:b/>
          <w:bCs/>
          <w:sz w:val="20"/>
          <w:szCs w:val="22"/>
          <w:u w:color="000000"/>
          <w14:textOutline w14:w="12700" w14:cap="flat" w14:cmpd="sng" w14:algn="ctr">
            <w14:noFill/>
            <w14:prstDash w14:val="solid"/>
            <w14:miter w14:lim="400000"/>
          </w14:textOutline>
        </w:rPr>
        <w:t>TALLER SOBRE RECURSOS EXTRAORDINARIOS DE LA MESA DE ESTUDIO No. 3. (Trabajo asincrónico)</w:t>
      </w:r>
      <w:r w:rsidRPr="00A03113">
        <w:rPr>
          <w:rStyle w:val="Ninguno"/>
          <w:rFonts w:ascii="Arial" w:eastAsia="Helvetica" w:hAnsi="Arial" w:cs="Arial"/>
          <w:b/>
          <w:bCs/>
          <w:sz w:val="20"/>
          <w:szCs w:val="22"/>
          <w:u w:color="000000"/>
          <w14:textOutline w14:w="12700" w14:cap="flat" w14:cmpd="sng" w14:algn="ctr">
            <w14:noFill/>
            <w14:prstDash w14:val="solid"/>
            <w14:miter w14:lim="400000"/>
          </w14:textOutline>
        </w:rPr>
        <w:br/>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rPr>
          <w:rFonts w:ascii="Arial" w:hAnsi="Arial" w:cs="Arial"/>
          <w:sz w:val="20"/>
          <w:szCs w:val="22"/>
          <w:lang w:val="es-ES_tradnl"/>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r w:rsidRPr="00A03113">
        <w:rPr>
          <w:rStyle w:val="Ninguno"/>
          <w:rFonts w:ascii="Arial" w:hAnsi="Arial" w:cs="Arial"/>
          <w:b/>
          <w:bCs/>
          <w:sz w:val="20"/>
          <w:szCs w:val="22"/>
          <w:u w:val="single" w:color="000000"/>
          <w14:textOutline w14:w="12700" w14:cap="flat" w14:cmpd="sng" w14:algn="ctr">
            <w14:noFill/>
            <w14:prstDash w14:val="solid"/>
            <w14:miter w14:lim="400000"/>
          </w14:textOutline>
        </w:rPr>
        <w:t>EJERCICIO 1. RECURSO EXTRAORDINARIO DE REVISIÓN</w:t>
      </w:r>
      <w:r w:rsidRPr="00A03113">
        <w:rPr>
          <w:rStyle w:val="Ninguno"/>
          <w:rFonts w:ascii="Arial" w:hAnsi="Arial" w:cs="Arial"/>
          <w:sz w:val="20"/>
          <w:szCs w:val="22"/>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rsidR="008D25DD" w:rsidRPr="00A03113" w:rsidRDefault="008D25DD"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8D25DD" w:rsidRPr="00A03113" w:rsidRDefault="008D25DD"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r w:rsidRPr="00A03113">
        <w:rPr>
          <w:rStyle w:val="Ninguno"/>
          <w:rFonts w:ascii="Arial" w:hAnsi="Arial" w:cs="Arial"/>
          <w:sz w:val="20"/>
          <w:szCs w:val="22"/>
          <w:u w:color="000000"/>
          <w14:textOutline w14:w="12700" w14:cap="flat" w14:cmpd="sng" w14:algn="ctr">
            <w14:noFill/>
            <w14:prstDash w14:val="solid"/>
            <w14:miter w14:lim="400000"/>
          </w14:textOutline>
        </w:rPr>
        <w:t>Aspecto procesal ley 1437 de 2011 ley 2080 de 2021</w:t>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rPr>
          <w:rFonts w:ascii="Arial" w:hAnsi="Arial" w:cs="Arial"/>
          <w:sz w:val="20"/>
          <w:szCs w:val="22"/>
          <w:lang w:val="es-ES_tradnl"/>
        </w:rPr>
      </w:pPr>
    </w:p>
    <w:tbl>
      <w:tblPr>
        <w:tblStyle w:val="Tablaconcuadrcula"/>
        <w:tblW w:w="8568" w:type="dxa"/>
        <w:tblLayout w:type="fixed"/>
        <w:tblLook w:val="04A0" w:firstRow="1" w:lastRow="0" w:firstColumn="1" w:lastColumn="0" w:noHBand="0" w:noVBand="1"/>
      </w:tblPr>
      <w:tblGrid>
        <w:gridCol w:w="2648"/>
        <w:gridCol w:w="3085"/>
        <w:gridCol w:w="2835"/>
      </w:tblGrid>
      <w:tr w:rsidR="003D7A9B" w:rsidRPr="00A03113" w:rsidTr="008D25DD">
        <w:trPr>
          <w:trHeight w:val="324"/>
        </w:trPr>
        <w:tc>
          <w:tcPr>
            <w:tcW w:w="2648" w:type="dxa"/>
          </w:tcPr>
          <w:p w:rsidR="003D7A9B" w:rsidRPr="00A03113" w:rsidRDefault="003D7A9B" w:rsidP="008D25DD">
            <w:pPr>
              <w:keepNext/>
              <w:tabs>
                <w:tab w:val="left" w:pos="708"/>
                <w:tab w:val="left" w:pos="1416"/>
                <w:tab w:val="left" w:pos="2124"/>
              </w:tabs>
              <w:rPr>
                <w:rFonts w:ascii="Arial" w:hAnsi="Arial" w:cs="Arial"/>
                <w:b/>
                <w:sz w:val="20"/>
                <w:szCs w:val="22"/>
                <w:lang w:val="es-CO"/>
              </w:rPr>
            </w:pP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E</w:t>
            </w:r>
            <w:r w:rsidR="008D25DD" w:rsidRPr="00A03113">
              <w:rPr>
                <w:rStyle w:val="Ninguno"/>
                <w:rFonts w:ascii="Arial" w:hAnsi="Arial" w:cs="Arial"/>
                <w:b/>
                <w:sz w:val="20"/>
                <w:szCs w:val="22"/>
                <w:u w:color="000000"/>
                <w14:textOutline w14:w="12700" w14:cap="flat" w14:cmpd="sng" w14:algn="ctr">
                  <w14:noFill/>
                  <w14:prstDash w14:val="solid"/>
                  <w14:miter w14:lim="400000"/>
                </w14:textOutline>
              </w:rPr>
              <w:t xml:space="preserve"> Aspecto procesal </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SAL</w:t>
            </w:r>
          </w:p>
        </w:tc>
        <w:tc>
          <w:tcPr>
            <w:tcW w:w="3085" w:type="dxa"/>
          </w:tcPr>
          <w:p w:rsidR="003D7A9B" w:rsidRPr="00A03113" w:rsidRDefault="008D25DD" w:rsidP="008D25DD">
            <w:pPr>
              <w:keepNext/>
              <w:tabs>
                <w:tab w:val="left" w:pos="708"/>
                <w:tab w:val="left" w:pos="1416"/>
                <w:tab w:val="left" w:pos="2124"/>
                <w:tab w:val="left" w:pos="2832"/>
              </w:tabs>
              <w:rPr>
                <w:rFonts w:ascii="Arial" w:hAnsi="Arial" w:cs="Arial"/>
                <w:b/>
                <w:sz w:val="20"/>
                <w:szCs w:val="22"/>
                <w:lang w:val="es-CO"/>
              </w:rPr>
            </w:pPr>
            <w:r w:rsidRPr="00A03113">
              <w:rPr>
                <w:rStyle w:val="Ninguno"/>
                <w:rFonts w:ascii="Arial" w:hAnsi="Arial" w:cs="Arial"/>
                <w:b/>
                <w:sz w:val="20"/>
                <w:szCs w:val="22"/>
                <w:u w:color="000000"/>
                <w14:textOutline w14:w="12700" w14:cap="flat" w14:cmpd="sng" w14:algn="ctr">
                  <w14:noFill/>
                  <w14:prstDash w14:val="solid"/>
                  <w14:miter w14:lim="400000"/>
                </w14:textOutline>
              </w:rPr>
              <w:t xml:space="preserve">ley 1437 de 2011 </w:t>
            </w:r>
            <w:r w:rsidR="003D7A9B"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E 2011</w:t>
            </w:r>
          </w:p>
        </w:tc>
        <w:tc>
          <w:tcPr>
            <w:tcW w:w="2835" w:type="dxa"/>
          </w:tcPr>
          <w:p w:rsidR="003D7A9B" w:rsidRPr="00A03113" w:rsidRDefault="008D25DD" w:rsidP="008D25DD">
            <w:pPr>
              <w:keepNext/>
              <w:tabs>
                <w:tab w:val="left" w:pos="708"/>
                <w:tab w:val="left" w:pos="1416"/>
                <w:tab w:val="left" w:pos="2124"/>
                <w:tab w:val="left" w:pos="2832"/>
              </w:tabs>
              <w:rPr>
                <w:rFonts w:ascii="Arial" w:hAnsi="Arial" w:cs="Arial"/>
                <w:b/>
                <w:sz w:val="20"/>
                <w:szCs w:val="22"/>
              </w:rPr>
            </w:pPr>
            <w:r w:rsidRPr="00A03113">
              <w:rPr>
                <w:rStyle w:val="Ninguno"/>
                <w:rFonts w:ascii="Arial" w:hAnsi="Arial" w:cs="Arial"/>
                <w:b/>
                <w:sz w:val="20"/>
                <w:szCs w:val="22"/>
                <w:u w:color="000000"/>
                <w14:textOutline w14:w="12700" w14:cap="flat" w14:cmpd="sng" w14:algn="ctr">
                  <w14:noFill/>
                  <w14:prstDash w14:val="solid"/>
                  <w14:miter w14:lim="400000"/>
                </w14:textOutline>
              </w:rPr>
              <w:t>ley 2080 de 2021</w:t>
            </w:r>
            <w:r w:rsidR="003D7A9B"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2080 DE 2021</w:t>
            </w:r>
          </w:p>
        </w:tc>
      </w:tr>
      <w:tr w:rsidR="003D7A9B" w:rsidRPr="00A03113" w:rsidTr="008D25DD">
        <w:trPr>
          <w:trHeight w:val="489"/>
        </w:trPr>
        <w:tc>
          <w:tcPr>
            <w:tcW w:w="2648" w:type="dxa"/>
          </w:tcPr>
          <w:p w:rsidR="003D7A9B" w:rsidRPr="00A03113" w:rsidRDefault="003D7A9B" w:rsidP="00035D69">
            <w:pPr>
              <w:tabs>
                <w:tab w:val="left" w:pos="708"/>
                <w:tab w:val="left" w:pos="1416"/>
                <w:tab w:val="left" w:pos="2124"/>
              </w:tabs>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INADMISIÓN DEL RECURSO</w:t>
            </w:r>
          </w:p>
        </w:tc>
        <w:tc>
          <w:tcPr>
            <w:tcW w:w="3085" w:type="dxa"/>
          </w:tcPr>
          <w:p w:rsidR="003D7A9B" w:rsidRPr="00A03113" w:rsidRDefault="003D7A9B" w:rsidP="00035D69">
            <w:pPr>
              <w:rPr>
                <w:rFonts w:ascii="Arial" w:hAnsi="Arial" w:cs="Arial"/>
                <w:sz w:val="20"/>
                <w:szCs w:val="22"/>
              </w:rPr>
            </w:pPr>
            <w:r w:rsidRPr="00A03113">
              <w:rPr>
                <w:rFonts w:ascii="Arial" w:hAnsi="Arial" w:cs="Arial"/>
                <w:sz w:val="20"/>
                <w:szCs w:val="22"/>
              </w:rPr>
              <w:t>X</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Ar. 69 Ley 2080  modifico CPACA para inadmitir recurso que no reúna requisitos del articulo 257  y conceder cinco días para subsanar</w:t>
            </w:r>
          </w:p>
        </w:tc>
      </w:tr>
      <w:tr w:rsidR="003D7A9B" w:rsidRPr="00A03113" w:rsidTr="008D25DD">
        <w:trPr>
          <w:trHeight w:val="484"/>
        </w:trPr>
        <w:tc>
          <w:tcPr>
            <w:tcW w:w="2648" w:type="dxa"/>
          </w:tcPr>
          <w:p w:rsidR="003D7A9B" w:rsidRPr="00A03113" w:rsidRDefault="003D7A9B" w:rsidP="00035D69">
            <w:pPr>
              <w:tabs>
                <w:tab w:val="left" w:pos="708"/>
                <w:tab w:val="left" w:pos="1416"/>
                <w:tab w:val="left" w:pos="2124"/>
              </w:tabs>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CAUSALES DE RECHAZO</w:t>
            </w:r>
          </w:p>
        </w:tc>
        <w:tc>
          <w:tcPr>
            <w:tcW w:w="3085" w:type="dxa"/>
          </w:tcPr>
          <w:p w:rsidR="003D7A9B" w:rsidRPr="00A03113" w:rsidRDefault="003D7A9B" w:rsidP="00035D69">
            <w:pPr>
              <w:rPr>
                <w:rFonts w:ascii="Arial" w:hAnsi="Arial" w:cs="Arial"/>
                <w:sz w:val="20"/>
                <w:szCs w:val="22"/>
              </w:rPr>
            </w:pPr>
            <w:r w:rsidRPr="00A03113">
              <w:rPr>
                <w:rFonts w:ascii="Arial" w:hAnsi="Arial" w:cs="Arial"/>
                <w:sz w:val="20"/>
                <w:szCs w:val="22"/>
              </w:rPr>
              <w:t>X</w:t>
            </w:r>
          </w:p>
        </w:tc>
        <w:tc>
          <w:tcPr>
            <w:tcW w:w="2835" w:type="dxa"/>
          </w:tcPr>
          <w:p w:rsidR="003D7A9B" w:rsidRPr="00A03113" w:rsidRDefault="003D7A9B" w:rsidP="00035D69">
            <w:pPr>
              <w:rPr>
                <w:rFonts w:ascii="Arial" w:hAnsi="Arial" w:cs="Arial"/>
                <w:sz w:val="20"/>
                <w:szCs w:val="22"/>
              </w:rPr>
            </w:pPr>
          </w:p>
        </w:tc>
      </w:tr>
      <w:tr w:rsidR="003D7A9B" w:rsidRPr="00A03113" w:rsidTr="008D25DD">
        <w:trPr>
          <w:trHeight w:val="2203"/>
        </w:trPr>
        <w:tc>
          <w:tcPr>
            <w:tcW w:w="2648" w:type="dxa"/>
          </w:tcPr>
          <w:p w:rsidR="003D7A9B" w:rsidRPr="00A03113" w:rsidRDefault="003D7A9B" w:rsidP="00035D69">
            <w:pPr>
              <w:tabs>
                <w:tab w:val="left" w:pos="708"/>
                <w:tab w:val="left" w:pos="1416"/>
                <w:tab w:val="left" w:pos="2124"/>
              </w:tabs>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NOTIFICACIÓN AUTO ADMISORIO</w:t>
            </w:r>
          </w:p>
        </w:tc>
        <w:tc>
          <w:tcPr>
            <w:tcW w:w="3085" w:type="dxa"/>
          </w:tcPr>
          <w:p w:rsidR="003D7A9B" w:rsidRPr="00A03113" w:rsidRDefault="003D7A9B" w:rsidP="00035D69">
            <w:pPr>
              <w:pStyle w:val="Cuerpo"/>
              <w:tabs>
                <w:tab w:val="left" w:pos="708"/>
                <w:tab w:val="left" w:pos="1416"/>
                <w:tab w:val="left" w:pos="2124"/>
                <w:tab w:val="left" w:pos="2832"/>
              </w:tabs>
              <w:jc w:val="both"/>
              <w:rPr>
                <w:rFonts w:ascii="Arial" w:hAnsi="Arial" w:cs="Arial"/>
                <w:sz w:val="20"/>
              </w:rPr>
            </w:pPr>
            <w:r w:rsidRPr="00A03113">
              <w:rPr>
                <w:rStyle w:val="Ninguno"/>
                <w:rFonts w:ascii="Arial" w:hAnsi="Arial" w:cs="Arial"/>
                <w:sz w:val="20"/>
                <w:u w:color="000000"/>
              </w:rPr>
              <w:t>Se notificará personalmente a la contraparte y al Ministerio Público para que lo contesten, si a bien tienen, y pidan pruebas, dentro del término de diez (10) días. </w:t>
            </w:r>
          </w:p>
        </w:tc>
        <w:tc>
          <w:tcPr>
            <w:tcW w:w="2835" w:type="dxa"/>
          </w:tcPr>
          <w:p w:rsidR="003D7A9B" w:rsidRPr="00A03113" w:rsidRDefault="003D7A9B" w:rsidP="00035D69">
            <w:pPr>
              <w:pStyle w:val="Cuerpo"/>
              <w:tabs>
                <w:tab w:val="left" w:pos="708"/>
                <w:tab w:val="left" w:pos="1416"/>
                <w:tab w:val="left" w:pos="2124"/>
                <w:tab w:val="left" w:pos="2832"/>
              </w:tabs>
              <w:jc w:val="both"/>
              <w:rPr>
                <w:rStyle w:val="Ninguno"/>
                <w:rFonts w:ascii="Arial" w:hAnsi="Arial" w:cs="Arial"/>
                <w:sz w:val="20"/>
                <w:u w:color="000000"/>
              </w:rPr>
            </w:pPr>
            <w:r w:rsidRPr="00A03113">
              <w:rPr>
                <w:rStyle w:val="Ninguno"/>
                <w:rFonts w:ascii="Arial" w:hAnsi="Arial" w:cs="Arial"/>
                <w:sz w:val="20"/>
                <w:u w:color="000000"/>
              </w:rPr>
              <w:t>Se notificará personalmente a la contraparte y al Ministerio Público para que lo contesten dentro de los diez (10) días siguientes, si a bien lo tienen, y pidan pruebas.  </w:t>
            </w:r>
          </w:p>
          <w:p w:rsidR="003D7A9B" w:rsidRPr="00A03113" w:rsidRDefault="003D7A9B" w:rsidP="00035D69">
            <w:pPr>
              <w:pStyle w:val="Cuerpo"/>
              <w:tabs>
                <w:tab w:val="left" w:pos="708"/>
                <w:tab w:val="left" w:pos="1416"/>
                <w:tab w:val="left" w:pos="2124"/>
                <w:tab w:val="left" w:pos="2832"/>
              </w:tabs>
              <w:jc w:val="both"/>
              <w:rPr>
                <w:rFonts w:ascii="Arial" w:hAnsi="Arial" w:cs="Arial"/>
                <w:sz w:val="20"/>
              </w:rPr>
            </w:pPr>
          </w:p>
        </w:tc>
      </w:tr>
      <w:tr w:rsidR="003D7A9B" w:rsidRPr="00A03113" w:rsidTr="008D25DD">
        <w:trPr>
          <w:trHeight w:val="724"/>
        </w:trPr>
        <w:tc>
          <w:tcPr>
            <w:tcW w:w="2648" w:type="dxa"/>
          </w:tcPr>
          <w:p w:rsidR="003D7A9B" w:rsidRPr="00A03113" w:rsidRDefault="003D7A9B" w:rsidP="00035D69">
            <w:pPr>
              <w:tabs>
                <w:tab w:val="left" w:pos="708"/>
                <w:tab w:val="left" w:pos="1416"/>
                <w:tab w:val="left" w:pos="2124"/>
              </w:tabs>
              <w:rPr>
                <w:rFonts w:ascii="Arial" w:hAnsi="Arial" w:cs="Arial"/>
                <w:sz w:val="20"/>
                <w:szCs w:val="22"/>
                <w:lang w:val="es-CO"/>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EXCEPCIONES PREVIAS Y REFORMA DEL RECURSO</w:t>
            </w:r>
          </w:p>
        </w:tc>
        <w:tc>
          <w:tcPr>
            <w:tcW w:w="3085" w:type="dxa"/>
          </w:tcPr>
          <w:p w:rsidR="003D7A9B" w:rsidRPr="00A03113" w:rsidRDefault="003D7A9B" w:rsidP="00035D69">
            <w:pPr>
              <w:rPr>
                <w:rFonts w:ascii="Arial" w:hAnsi="Arial" w:cs="Arial"/>
                <w:sz w:val="20"/>
                <w:szCs w:val="22"/>
              </w:rPr>
            </w:pPr>
            <w:r w:rsidRPr="00A03113">
              <w:rPr>
                <w:rFonts w:ascii="Arial" w:hAnsi="Arial" w:cs="Arial"/>
                <w:sz w:val="20"/>
                <w:szCs w:val="22"/>
              </w:rPr>
              <w:t>x</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No, inciso final del art. 69 Ley 2080 modificó articulo 253</w:t>
            </w:r>
          </w:p>
        </w:tc>
      </w:tr>
      <w:tr w:rsidR="003D7A9B" w:rsidRPr="00A03113" w:rsidTr="008D25DD">
        <w:trPr>
          <w:trHeight w:val="724"/>
        </w:trPr>
        <w:tc>
          <w:tcPr>
            <w:tcW w:w="2648" w:type="dxa"/>
          </w:tcPr>
          <w:p w:rsidR="003D7A9B" w:rsidRPr="00A03113" w:rsidRDefault="003D7A9B" w:rsidP="00035D69">
            <w:pPr>
              <w:tabs>
                <w:tab w:val="left" w:pos="708"/>
                <w:tab w:val="left" w:pos="1416"/>
                <w:tab w:val="left" w:pos="2124"/>
              </w:tabs>
              <w:rPr>
                <w:rFonts w:ascii="Arial" w:hAnsi="Arial" w:cs="Arial"/>
                <w:sz w:val="20"/>
                <w:szCs w:val="22"/>
                <w:lang w:val="es-CO"/>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 xml:space="preserve">SUSPENSIÓN CUMPLIMIENTO DE LA SENTENCIA </w:t>
            </w:r>
          </w:p>
        </w:tc>
        <w:tc>
          <w:tcPr>
            <w:tcW w:w="3085" w:type="dxa"/>
          </w:tcPr>
          <w:p w:rsidR="003D7A9B" w:rsidRPr="00A03113" w:rsidRDefault="003D7A9B" w:rsidP="00035D69">
            <w:pPr>
              <w:rPr>
                <w:rFonts w:ascii="Arial" w:hAnsi="Arial" w:cs="Arial"/>
                <w:sz w:val="20"/>
                <w:szCs w:val="22"/>
              </w:rPr>
            </w:pPr>
            <w:r w:rsidRPr="00A03113">
              <w:rPr>
                <w:rFonts w:ascii="Arial" w:hAnsi="Arial" w:cs="Arial"/>
                <w:sz w:val="20"/>
                <w:szCs w:val="22"/>
              </w:rPr>
              <w:t>x</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No. Parágrafo del artículo 69 de la Ley 2080</w:t>
            </w:r>
          </w:p>
        </w:tc>
      </w:tr>
    </w:tbl>
    <w:p w:rsidR="003D7A9B" w:rsidRPr="00A03113" w:rsidRDefault="003D7A9B" w:rsidP="003D7A9B">
      <w:pPr>
        <w:rPr>
          <w:rFonts w:ascii="Arial" w:hAnsi="Arial" w:cs="Arial"/>
          <w:sz w:val="20"/>
          <w:szCs w:val="22"/>
          <w:lang w:val="es-CO"/>
        </w:rPr>
      </w:pPr>
    </w:p>
    <w:p w:rsidR="003D7A9B" w:rsidRPr="00A03113" w:rsidRDefault="003D7A9B" w:rsidP="003D7A9B">
      <w:pPr>
        <w:rPr>
          <w:rFonts w:ascii="Arial" w:hAnsi="Arial" w:cs="Arial"/>
          <w:sz w:val="20"/>
          <w:szCs w:val="22"/>
          <w:lang w:val="es-CO"/>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r w:rsidRPr="00A03113">
        <w:rPr>
          <w:rStyle w:val="Ninguno"/>
          <w:rFonts w:ascii="Arial" w:hAnsi="Arial" w:cs="Arial"/>
          <w:b/>
          <w:bCs/>
          <w:sz w:val="20"/>
          <w:szCs w:val="22"/>
          <w:u w:val="single" w:color="000000"/>
          <w14:textOutline w14:w="12700" w14:cap="flat" w14:cmpd="sng" w14:algn="ctr">
            <w14:noFill/>
            <w14:prstDash w14:val="solid"/>
            <w14:miter w14:lim="400000"/>
          </w14:textOutline>
        </w:rPr>
        <w:t>Sentencia</w:t>
      </w:r>
      <w:r w:rsidRPr="00A03113">
        <w:rPr>
          <w:rStyle w:val="Ninguno"/>
          <w:rFonts w:ascii="Arial" w:hAnsi="Arial" w:cs="Arial"/>
          <w:sz w:val="20"/>
          <w:szCs w:val="22"/>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A03113">
        <w:rPr>
          <w:rStyle w:val="Ninguno"/>
          <w:rFonts w:ascii="Arial" w:hAnsi="Arial" w:cs="Arial"/>
          <w:sz w:val="20"/>
          <w:szCs w:val="22"/>
          <w:u w:color="000000"/>
          <w:lang w:val="it-IT"/>
          <w14:textOutline w14:w="12700" w14:cap="flat" w14:cmpd="sng" w14:algn="ctr">
            <w14:noFill/>
            <w14:prstDash w14:val="solid"/>
            <w14:miter w14:lim="400000"/>
          </w14:textOutline>
        </w:rPr>
        <w:t xml:space="preserve"> numeral </w:t>
      </w:r>
      <w:r w:rsidRPr="00A03113">
        <w:rPr>
          <w:rStyle w:val="Ninguno"/>
          <w:rFonts w:ascii="Arial" w:hAnsi="Arial" w:cs="Arial"/>
          <w:sz w:val="20"/>
          <w:szCs w:val="22"/>
          <w:u w:color="000000"/>
          <w14:textOutline w14:w="12700" w14:cap="flat" w14:cmpd="sng" w14:algn="ctr">
            <w14:noFill/>
            <w14:prstDash w14:val="solid"/>
            <w14:miter w14:lim="400000"/>
          </w14:textOutline>
        </w:rPr>
        <w:t xml:space="preserve">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w:t>
      </w:r>
      <w:r w:rsidRPr="00A03113">
        <w:rPr>
          <w:rStyle w:val="Ninguno"/>
          <w:rFonts w:ascii="Arial" w:hAnsi="Arial" w:cs="Arial"/>
          <w:sz w:val="20"/>
          <w:szCs w:val="22"/>
          <w:u w:color="000000"/>
          <w14:textOutline w14:w="12700" w14:cap="flat" w14:cmpd="sng" w14:algn="ctr">
            <w14:noFill/>
            <w14:prstDash w14:val="solid"/>
            <w14:miter w14:lim="400000"/>
          </w14:textOutline>
        </w:rPr>
        <w:lastRenderedPageBreak/>
        <w:t>3) Preceptúa que si se declara infundado el recurso se condenará en costas y perjuicios al recurrente (</w:t>
      </w:r>
      <w:proofErr w:type="spellStart"/>
      <w:r w:rsidRPr="00A03113">
        <w:rPr>
          <w:rStyle w:val="Ninguno"/>
          <w:rFonts w:ascii="Arial" w:hAnsi="Arial" w:cs="Arial"/>
          <w:sz w:val="20"/>
          <w:szCs w:val="22"/>
          <w:u w:color="000000"/>
          <w14:textOutline w14:w="12700" w14:cap="flat" w14:cmpd="sng" w14:algn="ctr">
            <w14:noFill/>
            <w14:prstDash w14:val="solid"/>
            <w14:miter w14:lim="400000"/>
          </w14:textOutline>
        </w:rPr>
        <w:t>artí</w:t>
      </w:r>
      <w:proofErr w:type="spellEnd"/>
      <w:r w:rsidRPr="00A03113">
        <w:rPr>
          <w:rStyle w:val="Ninguno"/>
          <w:rFonts w:ascii="Arial" w:hAnsi="Arial" w:cs="Arial"/>
          <w:sz w:val="20"/>
          <w:szCs w:val="22"/>
          <w:u w:color="000000"/>
          <w:lang w:val="pt-PT"/>
          <w14:textOutline w14:w="12700" w14:cap="flat" w14:cmpd="sng" w14:algn="ctr">
            <w14:noFill/>
            <w14:prstDash w14:val="solid"/>
            <w14:miter w14:lim="400000"/>
          </w14:textOutline>
        </w:rPr>
        <w:t xml:space="preserve">culo 255, inciso </w:t>
      </w:r>
      <w:r w:rsidRPr="00A03113">
        <w:rPr>
          <w:rStyle w:val="Ninguno"/>
          <w:rFonts w:ascii="Arial" w:hAnsi="Arial" w:cs="Arial"/>
          <w:sz w:val="20"/>
          <w:szCs w:val="22"/>
          <w:u w:color="000000"/>
          <w14:textOutline w14:w="12700" w14:cap="flat" w14:cmpd="sng" w14:algn="ctr">
            <w14:noFill/>
            <w14:prstDash w14:val="solid"/>
            <w14:miter w14:lim="400000"/>
          </w14:textOutline>
        </w:rPr>
        <w:t>3</w:t>
      </w:r>
      <w:r w:rsidRPr="00A03113">
        <w:rPr>
          <w:rStyle w:val="Ninguno"/>
          <w:rFonts w:ascii="Arial" w:hAnsi="Arial" w:cs="Arial"/>
          <w:sz w:val="20"/>
          <w:szCs w:val="22"/>
          <w:u w:color="000000"/>
          <w:lang w:val="it-IT"/>
          <w14:textOutline w14:w="12700" w14:cap="flat" w14:cmpd="sng" w14:algn="ctr">
            <w14:noFill/>
            <w14:prstDash w14:val="solid"/>
            <w14:miter w14:lim="400000"/>
          </w14:textOutline>
        </w:rPr>
        <w:t>, del CPACA).</w:t>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r w:rsidRPr="00A03113">
        <w:rPr>
          <w:rStyle w:val="Ninguno"/>
          <w:rFonts w:ascii="Arial" w:hAnsi="Arial" w:cs="Arial"/>
          <w:sz w:val="20"/>
          <w:szCs w:val="22"/>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A03113">
        <w:rPr>
          <w:rStyle w:val="Ninguno"/>
          <w:rFonts w:ascii="Arial" w:hAnsi="Arial" w:cs="Arial"/>
          <w:sz w:val="20"/>
          <w:szCs w:val="22"/>
          <w:u w:color="000000"/>
          <w14:textOutline w14:w="12700" w14:cap="flat" w14:cmpd="sng" w14:algn="ctr">
            <w14:noFill/>
            <w14:prstDash w14:val="solid"/>
            <w14:miter w14:lim="400000"/>
          </w14:textOutline>
        </w:rPr>
        <w:t>etc</w:t>
      </w:r>
      <w:proofErr w:type="spellEnd"/>
      <w:r w:rsidRPr="00A03113">
        <w:rPr>
          <w:rStyle w:val="Ninguno"/>
          <w:rFonts w:ascii="Arial" w:hAnsi="Arial" w:cs="Arial"/>
          <w:sz w:val="20"/>
          <w:szCs w:val="22"/>
          <w:u w:color="000000"/>
          <w14:textOutline w14:w="12700" w14:cap="flat" w14:cmpd="sng" w14:algn="ctr">
            <w14:noFill/>
            <w14:prstDash w14:val="solid"/>
            <w14:miter w14:lim="400000"/>
          </w14:textOutline>
        </w:rPr>
        <w:t xml:space="preserve"> y demás consecuencias de dicha invalidación. (</w:t>
      </w:r>
      <w:proofErr w:type="spellStart"/>
      <w:r w:rsidRPr="00A03113">
        <w:rPr>
          <w:rStyle w:val="Ninguno"/>
          <w:rFonts w:ascii="Arial" w:hAnsi="Arial" w:cs="Arial"/>
          <w:sz w:val="20"/>
          <w:szCs w:val="22"/>
          <w:u w:color="000000"/>
          <w14:textOutline w14:w="12700" w14:cap="flat" w14:cmpd="sng" w14:algn="ctr">
            <w14:noFill/>
            <w14:prstDash w14:val="solid"/>
            <w14:miter w14:lim="400000"/>
          </w14:textOutline>
        </w:rPr>
        <w:t>artí</w:t>
      </w:r>
      <w:proofErr w:type="spellEnd"/>
      <w:r w:rsidRPr="00A03113">
        <w:rPr>
          <w:rStyle w:val="Ninguno"/>
          <w:rFonts w:ascii="Arial" w:hAnsi="Arial" w:cs="Arial"/>
          <w:sz w:val="20"/>
          <w:szCs w:val="22"/>
          <w:u w:color="000000"/>
          <w:lang w:val="pt-PT"/>
          <w14:textOutline w14:w="12700" w14:cap="flat" w14:cmpd="sng" w14:algn="ctr">
            <w14:noFill/>
            <w14:prstDash w14:val="solid"/>
            <w14:miter w14:lim="400000"/>
          </w14:textOutline>
        </w:rPr>
        <w:t xml:space="preserve">culo 255, inciso </w:t>
      </w:r>
      <w:r w:rsidRPr="00A03113">
        <w:rPr>
          <w:rStyle w:val="Ninguno"/>
          <w:rFonts w:ascii="Arial" w:hAnsi="Arial" w:cs="Arial"/>
          <w:sz w:val="20"/>
          <w:szCs w:val="22"/>
          <w:u w:color="000000"/>
          <w14:textOutline w14:w="12700" w14:cap="flat" w14:cmpd="sng" w14:algn="ctr">
            <w14:noFill/>
            <w14:prstDash w14:val="solid"/>
            <w14:miter w14:lim="400000"/>
          </w14:textOutline>
        </w:rPr>
        <w:t>2</w:t>
      </w:r>
      <w:r w:rsidRPr="00A03113">
        <w:rPr>
          <w:rStyle w:val="Ninguno"/>
          <w:rFonts w:ascii="Arial" w:hAnsi="Arial" w:cs="Arial"/>
          <w:sz w:val="20"/>
          <w:szCs w:val="22"/>
          <w:u w:color="000000"/>
          <w:lang w:val="it-IT"/>
          <w14:textOutline w14:w="12700" w14:cap="flat" w14:cmpd="sng" w14:algn="ctr">
            <w14:noFill/>
            <w14:prstDash w14:val="solid"/>
            <w14:miter w14:lim="400000"/>
          </w14:textOutline>
        </w:rPr>
        <w:t>, del CPACA).</w:t>
      </w:r>
      <w:r w:rsidRPr="00A03113">
        <w:rPr>
          <w:rStyle w:val="Ninguno"/>
          <w:rFonts w:ascii="Arial" w:hAnsi="Arial" w:cs="Arial"/>
          <w:sz w:val="20"/>
          <w:szCs w:val="22"/>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r w:rsidRPr="00A03113">
        <w:rPr>
          <w:rStyle w:val="Ninguno"/>
          <w:rFonts w:ascii="Arial" w:hAnsi="Arial" w:cs="Arial"/>
          <w:sz w:val="20"/>
          <w:szCs w:val="22"/>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rPr>
          <w:rFonts w:ascii="Arial" w:hAnsi="Arial" w:cs="Arial"/>
          <w:sz w:val="20"/>
          <w:szCs w:val="22"/>
        </w:rPr>
      </w:pPr>
    </w:p>
    <w:p w:rsidR="003D7A9B" w:rsidRPr="00A03113" w:rsidRDefault="003D7A9B" w:rsidP="003D7A9B">
      <w:pPr>
        <w:rPr>
          <w:rFonts w:ascii="Arial" w:hAnsi="Arial" w:cs="Arial"/>
          <w:sz w:val="20"/>
          <w:szCs w:val="22"/>
        </w:rPr>
      </w:pPr>
    </w:p>
    <w:tbl>
      <w:tblPr>
        <w:tblStyle w:val="Tablaconcuadrcula"/>
        <w:tblW w:w="8568" w:type="dxa"/>
        <w:tblLayout w:type="fixed"/>
        <w:tblLook w:val="04A0" w:firstRow="1" w:lastRow="0" w:firstColumn="1" w:lastColumn="0" w:noHBand="0" w:noVBand="1"/>
      </w:tblPr>
      <w:tblGrid>
        <w:gridCol w:w="3120"/>
        <w:gridCol w:w="2755"/>
        <w:gridCol w:w="2693"/>
      </w:tblGrid>
      <w:tr w:rsidR="008D25DD" w:rsidRPr="00A03113" w:rsidTr="008D25DD">
        <w:trPr>
          <w:trHeight w:val="314"/>
        </w:trPr>
        <w:tc>
          <w:tcPr>
            <w:tcW w:w="3120" w:type="dxa"/>
          </w:tcPr>
          <w:p w:rsidR="008D25DD" w:rsidRPr="00A03113" w:rsidRDefault="008D25DD" w:rsidP="008D25DD">
            <w:pPr>
              <w:keepNext/>
              <w:tabs>
                <w:tab w:val="left" w:pos="708"/>
                <w:tab w:val="left" w:pos="1416"/>
                <w:tab w:val="left" w:pos="2124"/>
              </w:tabs>
              <w:rPr>
                <w:rFonts w:ascii="Arial" w:hAnsi="Arial" w:cs="Arial"/>
                <w:b/>
                <w:sz w:val="20"/>
                <w:szCs w:val="22"/>
                <w:lang w:val="es-CO"/>
              </w:rPr>
            </w:pP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E</w:t>
            </w:r>
            <w:r w:rsidRPr="00A03113">
              <w:rPr>
                <w:rStyle w:val="Ninguno"/>
                <w:rFonts w:ascii="Arial" w:hAnsi="Arial" w:cs="Arial"/>
                <w:b/>
                <w:sz w:val="20"/>
                <w:szCs w:val="22"/>
                <w:u w:color="000000"/>
                <w14:textOutline w14:w="12700" w14:cap="flat" w14:cmpd="sng" w14:algn="ctr">
                  <w14:noFill/>
                  <w14:prstDash w14:val="solid"/>
                  <w14:miter w14:lim="400000"/>
                </w14:textOutline>
              </w:rPr>
              <w:t xml:space="preserve"> Aspecto procesal </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SAL</w:t>
            </w:r>
          </w:p>
        </w:tc>
        <w:tc>
          <w:tcPr>
            <w:tcW w:w="2755" w:type="dxa"/>
          </w:tcPr>
          <w:p w:rsidR="008D25DD" w:rsidRPr="00A03113" w:rsidRDefault="008D25DD" w:rsidP="008D25DD">
            <w:pPr>
              <w:keepNext/>
              <w:tabs>
                <w:tab w:val="left" w:pos="708"/>
                <w:tab w:val="left" w:pos="1416"/>
                <w:tab w:val="left" w:pos="2124"/>
                <w:tab w:val="left" w:pos="2832"/>
              </w:tabs>
              <w:rPr>
                <w:rFonts w:ascii="Arial" w:hAnsi="Arial" w:cs="Arial"/>
                <w:b/>
                <w:sz w:val="20"/>
                <w:szCs w:val="22"/>
                <w:lang w:val="es-CO"/>
              </w:rPr>
            </w:pPr>
            <w:r w:rsidRPr="00A03113">
              <w:rPr>
                <w:rStyle w:val="Ninguno"/>
                <w:rFonts w:ascii="Arial" w:hAnsi="Arial" w:cs="Arial"/>
                <w:b/>
                <w:sz w:val="20"/>
                <w:szCs w:val="22"/>
                <w:u w:color="000000"/>
                <w14:textOutline w14:w="12700" w14:cap="flat" w14:cmpd="sng" w14:algn="ctr">
                  <w14:noFill/>
                  <w14:prstDash w14:val="solid"/>
                  <w14:miter w14:lim="400000"/>
                </w14:textOutline>
              </w:rPr>
              <w:t xml:space="preserve">ley 1437 de 2011 </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E 2011</w:t>
            </w:r>
          </w:p>
        </w:tc>
        <w:tc>
          <w:tcPr>
            <w:tcW w:w="2693" w:type="dxa"/>
          </w:tcPr>
          <w:p w:rsidR="008D25DD" w:rsidRPr="00A03113" w:rsidRDefault="008D25DD" w:rsidP="008D25DD">
            <w:pPr>
              <w:keepNext/>
              <w:tabs>
                <w:tab w:val="left" w:pos="708"/>
                <w:tab w:val="left" w:pos="1416"/>
                <w:tab w:val="left" w:pos="2124"/>
                <w:tab w:val="left" w:pos="2832"/>
              </w:tabs>
              <w:rPr>
                <w:rFonts w:ascii="Arial" w:hAnsi="Arial" w:cs="Arial"/>
                <w:b/>
                <w:sz w:val="20"/>
                <w:szCs w:val="22"/>
              </w:rPr>
            </w:pPr>
            <w:r w:rsidRPr="00A03113">
              <w:rPr>
                <w:rStyle w:val="Ninguno"/>
                <w:rFonts w:ascii="Arial" w:hAnsi="Arial" w:cs="Arial"/>
                <w:b/>
                <w:sz w:val="20"/>
                <w:szCs w:val="22"/>
                <w:u w:color="000000"/>
                <w14:textOutline w14:w="12700" w14:cap="flat" w14:cmpd="sng" w14:algn="ctr">
                  <w14:noFill/>
                  <w14:prstDash w14:val="solid"/>
                  <w14:miter w14:lim="400000"/>
                </w14:textOutline>
              </w:rPr>
              <w:t>ley 2080 de 2021</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2080 DE 2021</w:t>
            </w:r>
          </w:p>
        </w:tc>
      </w:tr>
      <w:tr w:rsidR="003D7A9B" w:rsidRPr="00A03113" w:rsidTr="008D25DD">
        <w:trPr>
          <w:trHeight w:val="1489"/>
        </w:trPr>
        <w:tc>
          <w:tcPr>
            <w:tcW w:w="3120" w:type="dxa"/>
          </w:tcPr>
          <w:p w:rsidR="003D7A9B" w:rsidRPr="00A03113" w:rsidRDefault="003D7A9B" w:rsidP="00035D69">
            <w:pPr>
              <w:pStyle w:val="Estilodetabla2A"/>
              <w:jc w:val="both"/>
              <w:rPr>
                <w:rFonts w:ascii="Arial" w:hAnsi="Arial" w:cs="Arial"/>
                <w:b/>
                <w:bCs/>
                <w:szCs w:val="22"/>
              </w:rPr>
            </w:pPr>
            <w:r w:rsidRPr="00A03113">
              <w:rPr>
                <w:rStyle w:val="Ninguno"/>
                <w:rFonts w:ascii="Arial" w:hAnsi="Arial" w:cs="Arial"/>
                <w:b/>
                <w:bCs/>
                <w:szCs w:val="22"/>
              </w:rPr>
              <w:t xml:space="preserve">SENTENCIA POR LAS CAUSALES: de los numerales 1 a 4 y 6 a 8 del artículo 250 del CPACA o del literal b) del artículo 20 de la Ley 797 de 2003. </w:t>
            </w:r>
          </w:p>
        </w:tc>
        <w:tc>
          <w:tcPr>
            <w:tcW w:w="2755" w:type="dxa"/>
          </w:tcPr>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u w:val="single"/>
              </w:rPr>
            </w:pPr>
            <w:r w:rsidRPr="00A03113">
              <w:rPr>
                <w:rFonts w:ascii="Arial" w:hAnsi="Arial" w:cs="Arial"/>
                <w:b/>
                <w:bCs/>
                <w:color w:val="000000"/>
                <w:sz w:val="20"/>
                <w:szCs w:val="22"/>
                <w:u w:val="single"/>
              </w:rPr>
              <w:t>Artículo 250 del CPACA</w:t>
            </w:r>
            <w:r w:rsidRPr="00A03113">
              <w:rPr>
                <w:rFonts w:ascii="Arial" w:hAnsi="Arial" w:cs="Arial"/>
                <w:color w:val="000000"/>
                <w:sz w:val="20"/>
                <w:szCs w:val="22"/>
                <w:u w:val="single"/>
              </w:rPr>
              <w:t>:</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2. Haberse dictado la sentencia con fundamento en documentos falsos o adulterados. </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3. Haberse dictado la sentencia con base en dictamen de peritos condenados penalmente por ilícitos cometidos en su expedición. </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4. Haberse dictado sentencia penal que declare que hubo violencia o cohecho en el pronunciamiento de la sentencia. </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 xml:space="preserve">6. Aparecer, después de dictada la sentencia a favor de una persona, otra con </w:t>
            </w:r>
            <w:r w:rsidRPr="00A03113">
              <w:rPr>
                <w:rFonts w:ascii="Arial" w:hAnsi="Arial" w:cs="Arial"/>
                <w:color w:val="000000"/>
                <w:sz w:val="20"/>
                <w:szCs w:val="22"/>
              </w:rPr>
              <w:lastRenderedPageBreak/>
              <w:t>mejor derecho para reclamar. </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7. No tener la persona en cuyo favor se decretó una prestación periódica, al tiempo del reconocimiento, la aptitud legal necesaria o perder esa aptitud con posterioridad a la sentencia o sobrevenir alguna de las causales legales para su pérdida.</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8. Ser la sentencia contraria a otra anterior que constituya cosa juzgada entre las partes del proceso en que aquella fue dictada. Sin embargo, no habrá lugar a revisión si en el segundo proceso se propuso la excepción de cosa juzgada y fue rechazada. </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p>
          <w:p w:rsidR="003D7A9B" w:rsidRPr="00A03113" w:rsidRDefault="003D7A9B" w:rsidP="00035D69">
            <w:pPr>
              <w:pStyle w:val="NormalWeb"/>
              <w:spacing w:before="0" w:beforeAutospacing="0" w:after="144" w:afterAutospacing="0" w:line="254" w:lineRule="atLeast"/>
              <w:jc w:val="both"/>
              <w:rPr>
                <w:rFonts w:ascii="Arial" w:hAnsi="Arial" w:cs="Arial"/>
                <w:b/>
                <w:bCs/>
                <w:color w:val="000000" w:themeColor="text1"/>
                <w:sz w:val="20"/>
                <w:szCs w:val="22"/>
                <w:u w:val="single"/>
              </w:rPr>
            </w:pPr>
            <w:r w:rsidRPr="00A03113">
              <w:rPr>
                <w:rFonts w:ascii="Arial" w:hAnsi="Arial" w:cs="Arial"/>
                <w:b/>
                <w:bCs/>
                <w:color w:val="000000" w:themeColor="text1"/>
                <w:sz w:val="20"/>
                <w:szCs w:val="22"/>
                <w:u w:val="single"/>
              </w:rPr>
              <w:t>Artículo 20 de la Ley 797 de 2003:</w:t>
            </w:r>
          </w:p>
          <w:p w:rsidR="003D7A9B" w:rsidRPr="00A03113" w:rsidRDefault="003D7A9B" w:rsidP="00035D69">
            <w:pPr>
              <w:pStyle w:val="NormalWeb"/>
              <w:spacing w:line="270" w:lineRule="atLeast"/>
              <w:jc w:val="both"/>
              <w:rPr>
                <w:rFonts w:ascii="Arial" w:hAnsi="Arial" w:cs="Arial"/>
                <w:color w:val="000000" w:themeColor="text1"/>
                <w:sz w:val="20"/>
                <w:szCs w:val="22"/>
              </w:rPr>
            </w:pPr>
            <w:r w:rsidRPr="00A03113">
              <w:rPr>
                <w:rFonts w:ascii="Arial" w:hAnsi="Arial" w:cs="Arial"/>
                <w:color w:val="000000" w:themeColor="text1"/>
                <w:sz w:val="20"/>
                <w:szCs w:val="22"/>
              </w:rPr>
              <w:t>a) Cuando el reconocimiento se haya obtenido con violación al debido proceso, y</w:t>
            </w:r>
          </w:p>
          <w:p w:rsidR="003D7A9B" w:rsidRPr="00A03113" w:rsidRDefault="003D7A9B" w:rsidP="00035D69">
            <w:pPr>
              <w:pStyle w:val="NormalWeb"/>
              <w:spacing w:line="270" w:lineRule="atLeast"/>
              <w:jc w:val="both"/>
              <w:rPr>
                <w:rFonts w:ascii="Arial" w:hAnsi="Arial" w:cs="Arial"/>
                <w:color w:val="000000" w:themeColor="text1"/>
                <w:sz w:val="20"/>
                <w:szCs w:val="22"/>
              </w:rPr>
            </w:pPr>
            <w:r w:rsidRPr="00A03113">
              <w:rPr>
                <w:rFonts w:ascii="Arial" w:hAnsi="Arial" w:cs="Arial"/>
                <w:color w:val="000000" w:themeColor="text1"/>
                <w:sz w:val="20"/>
                <w:szCs w:val="22"/>
              </w:rPr>
              <w:t>b) Cuando la cuantía del derecho reconocido excediere lo debido de acuerdo con la ley, pacto o convención colectiva que le eran legalmente aplicables.</w:t>
            </w:r>
          </w:p>
        </w:tc>
        <w:tc>
          <w:tcPr>
            <w:tcW w:w="2693" w:type="dxa"/>
          </w:tcPr>
          <w:p w:rsidR="003D7A9B" w:rsidRPr="00A03113" w:rsidRDefault="003D7A9B" w:rsidP="00035D69">
            <w:pPr>
              <w:rPr>
                <w:rFonts w:ascii="Arial" w:hAnsi="Arial" w:cs="Arial"/>
                <w:sz w:val="20"/>
                <w:szCs w:val="22"/>
                <w:lang w:val="es-CO"/>
              </w:rPr>
            </w:pPr>
          </w:p>
        </w:tc>
      </w:tr>
      <w:tr w:rsidR="003D7A9B" w:rsidRPr="00A03113" w:rsidTr="008D25DD">
        <w:trPr>
          <w:trHeight w:val="1224"/>
        </w:trPr>
        <w:tc>
          <w:tcPr>
            <w:tcW w:w="3120" w:type="dxa"/>
          </w:tcPr>
          <w:p w:rsidR="003D7A9B" w:rsidRPr="00A03113" w:rsidRDefault="003D7A9B" w:rsidP="00035D69">
            <w:pPr>
              <w:pStyle w:val="Estilodetabla2A"/>
              <w:jc w:val="both"/>
              <w:rPr>
                <w:rFonts w:ascii="Arial" w:hAnsi="Arial" w:cs="Arial"/>
                <w:b/>
                <w:bCs/>
                <w:szCs w:val="22"/>
              </w:rPr>
            </w:pPr>
            <w:r w:rsidRPr="00A03113">
              <w:rPr>
                <w:rStyle w:val="Ninguno"/>
                <w:rFonts w:ascii="Arial" w:hAnsi="Arial" w:cs="Arial"/>
                <w:b/>
                <w:bCs/>
                <w:szCs w:val="22"/>
              </w:rPr>
              <w:lastRenderedPageBreak/>
              <w:t xml:space="preserve">SENTENCIA POR LAS CAUSALES: del numeral 5 del artículo 250 del CPACA o del literal a) del artículo 20 de la Ley 797 de 2003. </w:t>
            </w:r>
          </w:p>
        </w:tc>
        <w:tc>
          <w:tcPr>
            <w:tcW w:w="2755" w:type="dxa"/>
          </w:tcPr>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u w:val="single"/>
              </w:rPr>
            </w:pPr>
            <w:r w:rsidRPr="00A03113">
              <w:rPr>
                <w:rFonts w:ascii="Arial" w:hAnsi="Arial" w:cs="Arial"/>
                <w:b/>
                <w:bCs/>
                <w:color w:val="000000"/>
                <w:sz w:val="20"/>
                <w:szCs w:val="22"/>
                <w:u w:val="single"/>
              </w:rPr>
              <w:t>Artículo 250 del CPACA:</w:t>
            </w:r>
          </w:p>
          <w:p w:rsidR="003D7A9B" w:rsidRPr="00A03113" w:rsidRDefault="003D7A9B" w:rsidP="00035D69">
            <w:pPr>
              <w:pStyle w:val="NormalWeb"/>
              <w:spacing w:before="0" w:beforeAutospacing="0" w:after="144" w:afterAutospacing="0" w:line="254" w:lineRule="atLeast"/>
              <w:jc w:val="both"/>
              <w:rPr>
                <w:rFonts w:ascii="Arial" w:hAnsi="Arial" w:cs="Arial"/>
                <w:color w:val="000000"/>
                <w:sz w:val="20"/>
                <w:szCs w:val="22"/>
              </w:rPr>
            </w:pPr>
            <w:r w:rsidRPr="00A03113">
              <w:rPr>
                <w:rFonts w:ascii="Arial" w:hAnsi="Arial" w:cs="Arial"/>
                <w:color w:val="000000"/>
                <w:sz w:val="20"/>
                <w:szCs w:val="22"/>
              </w:rPr>
              <w:t>5. Existir nulidad originada en la sentencia que puso fin al proceso y contra la que no procede recurso de apelación. </w:t>
            </w: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p>
        </w:tc>
        <w:tc>
          <w:tcPr>
            <w:tcW w:w="2693" w:type="dxa"/>
          </w:tcPr>
          <w:p w:rsidR="003D7A9B" w:rsidRPr="00A03113" w:rsidRDefault="003D7A9B" w:rsidP="00035D69">
            <w:pPr>
              <w:rPr>
                <w:rFonts w:ascii="Arial" w:hAnsi="Arial" w:cs="Arial"/>
                <w:sz w:val="20"/>
                <w:szCs w:val="22"/>
                <w:lang w:val="es-CO"/>
              </w:rPr>
            </w:pPr>
          </w:p>
        </w:tc>
      </w:tr>
      <w:tr w:rsidR="003D7A9B" w:rsidRPr="00A03113" w:rsidTr="008D25DD">
        <w:trPr>
          <w:trHeight w:val="504"/>
        </w:trPr>
        <w:tc>
          <w:tcPr>
            <w:tcW w:w="3120" w:type="dxa"/>
          </w:tcPr>
          <w:p w:rsidR="003D7A9B" w:rsidRPr="00A03113" w:rsidRDefault="003D7A9B" w:rsidP="00035D69">
            <w:pPr>
              <w:pStyle w:val="Estilodetabla2A"/>
              <w:jc w:val="both"/>
              <w:rPr>
                <w:rFonts w:ascii="Arial" w:hAnsi="Arial" w:cs="Arial"/>
                <w:b/>
                <w:bCs/>
                <w:szCs w:val="22"/>
              </w:rPr>
            </w:pPr>
            <w:r w:rsidRPr="00A03113">
              <w:rPr>
                <w:rStyle w:val="Ninguno"/>
                <w:rFonts w:ascii="Arial" w:hAnsi="Arial" w:cs="Arial"/>
                <w:b/>
                <w:bCs/>
                <w:szCs w:val="22"/>
              </w:rPr>
              <w:t>EFECTOS de declarar infundado el recurso.</w:t>
            </w:r>
          </w:p>
        </w:tc>
        <w:tc>
          <w:tcPr>
            <w:tcW w:w="2755" w:type="dxa"/>
          </w:tcPr>
          <w:p w:rsidR="003D7A9B" w:rsidRPr="00A03113" w:rsidRDefault="003D7A9B" w:rsidP="00035D69">
            <w:pPr>
              <w:jc w:val="center"/>
              <w:rPr>
                <w:rFonts w:ascii="Arial" w:hAnsi="Arial" w:cs="Arial"/>
                <w:sz w:val="20"/>
                <w:szCs w:val="22"/>
              </w:rPr>
            </w:pPr>
            <w:r w:rsidRPr="00A03113">
              <w:rPr>
                <w:rFonts w:ascii="Arial" w:hAnsi="Arial" w:cs="Arial"/>
                <w:sz w:val="20"/>
                <w:szCs w:val="22"/>
              </w:rPr>
              <w:t>X</w:t>
            </w:r>
          </w:p>
        </w:tc>
        <w:tc>
          <w:tcPr>
            <w:tcW w:w="2693"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 xml:space="preserve">Ar.70 Ley 2080 modifico art. 255 CPACA señalando </w:t>
            </w:r>
            <w:r w:rsidRPr="00A03113">
              <w:rPr>
                <w:rFonts w:ascii="Arial" w:hAnsi="Arial" w:cs="Arial"/>
                <w:sz w:val="20"/>
                <w:szCs w:val="22"/>
                <w:lang w:val="es-CO"/>
              </w:rPr>
              <w:lastRenderedPageBreak/>
              <w:t>condena en costas y perjuicios</w:t>
            </w:r>
          </w:p>
        </w:tc>
      </w:tr>
      <w:tr w:rsidR="003D7A9B" w:rsidRPr="00A03113" w:rsidTr="008D25DD">
        <w:trPr>
          <w:trHeight w:val="504"/>
        </w:trPr>
        <w:tc>
          <w:tcPr>
            <w:tcW w:w="3120" w:type="dxa"/>
          </w:tcPr>
          <w:p w:rsidR="003D7A9B" w:rsidRPr="00A03113" w:rsidRDefault="003D7A9B" w:rsidP="00035D69">
            <w:pPr>
              <w:pStyle w:val="Estilodetabla2A"/>
              <w:jc w:val="both"/>
              <w:rPr>
                <w:rFonts w:ascii="Arial" w:hAnsi="Arial" w:cs="Arial"/>
                <w:b/>
                <w:bCs/>
                <w:szCs w:val="22"/>
              </w:rPr>
            </w:pPr>
            <w:r w:rsidRPr="00A03113">
              <w:rPr>
                <w:rStyle w:val="Ninguno"/>
                <w:rFonts w:ascii="Arial" w:hAnsi="Arial" w:cs="Arial"/>
                <w:b/>
                <w:bCs/>
                <w:szCs w:val="22"/>
              </w:rPr>
              <w:lastRenderedPageBreak/>
              <w:t>CONSECUENCIAS de la prosperidad del recurso.</w:t>
            </w:r>
          </w:p>
        </w:tc>
        <w:tc>
          <w:tcPr>
            <w:tcW w:w="2755" w:type="dxa"/>
          </w:tcPr>
          <w:p w:rsidR="003D7A9B" w:rsidRPr="00A03113" w:rsidRDefault="003D7A9B" w:rsidP="00035D69">
            <w:pPr>
              <w:jc w:val="center"/>
              <w:rPr>
                <w:rFonts w:ascii="Arial" w:hAnsi="Arial" w:cs="Arial"/>
                <w:sz w:val="20"/>
                <w:szCs w:val="22"/>
              </w:rPr>
            </w:pPr>
            <w:r w:rsidRPr="00A03113">
              <w:rPr>
                <w:rFonts w:ascii="Arial" w:hAnsi="Arial" w:cs="Arial"/>
                <w:sz w:val="20"/>
                <w:szCs w:val="22"/>
              </w:rPr>
              <w:t>x</w:t>
            </w:r>
          </w:p>
        </w:tc>
        <w:tc>
          <w:tcPr>
            <w:tcW w:w="2693"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 xml:space="preserve">Causales 1 a </w:t>
            </w:r>
            <w:proofErr w:type="gramStart"/>
            <w:r w:rsidRPr="00A03113">
              <w:rPr>
                <w:rFonts w:ascii="Arial" w:hAnsi="Arial" w:cs="Arial"/>
                <w:sz w:val="20"/>
                <w:szCs w:val="22"/>
                <w:lang w:val="es-CO"/>
              </w:rPr>
              <w:t>4  y</w:t>
            </w:r>
            <w:proofErr w:type="gramEnd"/>
            <w:r w:rsidRPr="00A03113">
              <w:rPr>
                <w:rFonts w:ascii="Arial" w:hAnsi="Arial" w:cs="Arial"/>
                <w:sz w:val="20"/>
                <w:szCs w:val="22"/>
                <w:lang w:val="es-CO"/>
              </w:rPr>
              <w:t xml:space="preserve"> 6 a 8 del art. 250 literal b) o la del art. 20 ley 797 de 3003 se invalida la sentencia revisada y se dictará la que en derecho corresponda. Resolver sobre las restituciones, cancelaciones, perjuicios, frutos, mejoras y demás consecuencia de la invalidación. Dando la posibilidad de condena en abstracto. Probada la causal No. 5 y literal a) del artículo 20 Ley 797 declara la nulidad  de la sentencia o de la actuación afectada con la causal y se devuelve el proceso ala autoridad judicial de origen para que rehaga la misma o dite nueva sentencias se declara infundado recurso se condena en costas y perjuicios al recurrente</w:t>
            </w:r>
          </w:p>
        </w:tc>
      </w:tr>
    </w:tbl>
    <w:p w:rsidR="003D7A9B" w:rsidRPr="00A03113" w:rsidRDefault="003D7A9B" w:rsidP="003D7A9B">
      <w:pPr>
        <w:rPr>
          <w:rFonts w:ascii="Arial" w:hAnsi="Arial" w:cs="Arial"/>
          <w:sz w:val="20"/>
          <w:szCs w:val="22"/>
          <w:lang w:val="es-CO"/>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r w:rsidRPr="00A03113">
        <w:rPr>
          <w:rStyle w:val="Ninguno"/>
          <w:rFonts w:ascii="Arial" w:hAnsi="Arial" w:cs="Arial"/>
          <w:b/>
          <w:bCs/>
          <w:sz w:val="20"/>
          <w:szCs w:val="22"/>
          <w:u w:val="single" w:color="000000"/>
          <w14:textOutline w14:w="12700" w14:cap="flat" w14:cmpd="sng" w14:algn="ctr">
            <w14:noFill/>
            <w14:prstDash w14:val="solid"/>
            <w14:miter w14:lim="400000"/>
          </w14:textOutline>
        </w:rPr>
        <w:t>EJERCICIO 2. MECANISMO DE UNIFICACIÓN DE JURISPRUDENCIA (preventivo)</w:t>
      </w:r>
      <w:r w:rsidRPr="00A03113">
        <w:rPr>
          <w:rStyle w:val="Ninguno"/>
          <w:rFonts w:ascii="Arial" w:hAnsi="Arial" w:cs="Arial"/>
          <w:sz w:val="20"/>
          <w:szCs w:val="22"/>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rPr>
          <w:rFonts w:ascii="Arial" w:hAnsi="Arial" w:cs="Arial"/>
          <w:sz w:val="20"/>
          <w:szCs w:val="22"/>
          <w:lang w:val="es-CO"/>
        </w:rPr>
      </w:pPr>
    </w:p>
    <w:p w:rsidR="003D7A9B" w:rsidRPr="00A03113" w:rsidRDefault="003D7A9B" w:rsidP="003D7A9B">
      <w:pPr>
        <w:rPr>
          <w:rFonts w:ascii="Arial" w:hAnsi="Arial" w:cs="Arial"/>
          <w:sz w:val="20"/>
          <w:szCs w:val="22"/>
          <w:lang w:val="es-CO"/>
        </w:rPr>
      </w:pPr>
    </w:p>
    <w:tbl>
      <w:tblPr>
        <w:tblStyle w:val="Tablaconcuadrcula"/>
        <w:tblW w:w="8568" w:type="dxa"/>
        <w:tblLayout w:type="fixed"/>
        <w:tblLook w:val="04A0" w:firstRow="1" w:lastRow="0" w:firstColumn="1" w:lastColumn="0" w:noHBand="0" w:noVBand="1"/>
      </w:tblPr>
      <w:tblGrid>
        <w:gridCol w:w="3120"/>
        <w:gridCol w:w="2613"/>
        <w:gridCol w:w="2835"/>
      </w:tblGrid>
      <w:tr w:rsidR="008D25DD" w:rsidRPr="00A03113" w:rsidTr="008D25DD">
        <w:trPr>
          <w:trHeight w:val="489"/>
        </w:trPr>
        <w:tc>
          <w:tcPr>
            <w:tcW w:w="3120" w:type="dxa"/>
          </w:tcPr>
          <w:p w:rsidR="008D25DD" w:rsidRPr="00A03113" w:rsidRDefault="008D25DD" w:rsidP="008D25DD">
            <w:pPr>
              <w:keepNext/>
              <w:tabs>
                <w:tab w:val="left" w:pos="708"/>
                <w:tab w:val="left" w:pos="1416"/>
                <w:tab w:val="left" w:pos="2124"/>
              </w:tabs>
              <w:rPr>
                <w:rFonts w:ascii="Arial" w:hAnsi="Arial" w:cs="Arial"/>
                <w:b/>
                <w:sz w:val="20"/>
                <w:szCs w:val="22"/>
                <w:lang w:val="es-CO"/>
              </w:rPr>
            </w:pP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E</w:t>
            </w:r>
            <w:r w:rsidRPr="00A03113">
              <w:rPr>
                <w:rStyle w:val="Ninguno"/>
                <w:rFonts w:ascii="Arial" w:hAnsi="Arial" w:cs="Arial"/>
                <w:b/>
                <w:sz w:val="20"/>
                <w:szCs w:val="22"/>
                <w:u w:color="000000"/>
                <w14:textOutline w14:w="12700" w14:cap="flat" w14:cmpd="sng" w14:algn="ctr">
                  <w14:noFill/>
                  <w14:prstDash w14:val="solid"/>
                  <w14:miter w14:lim="400000"/>
                </w14:textOutline>
              </w:rPr>
              <w:t xml:space="preserve"> Aspecto procesal </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SAL</w:t>
            </w:r>
          </w:p>
        </w:tc>
        <w:tc>
          <w:tcPr>
            <w:tcW w:w="2613" w:type="dxa"/>
          </w:tcPr>
          <w:p w:rsidR="008D25DD" w:rsidRPr="00A03113" w:rsidRDefault="008D25DD" w:rsidP="008D25DD">
            <w:pPr>
              <w:keepNext/>
              <w:tabs>
                <w:tab w:val="left" w:pos="708"/>
                <w:tab w:val="left" w:pos="1416"/>
                <w:tab w:val="left" w:pos="2124"/>
                <w:tab w:val="left" w:pos="2832"/>
              </w:tabs>
              <w:rPr>
                <w:rFonts w:ascii="Arial" w:hAnsi="Arial" w:cs="Arial"/>
                <w:b/>
                <w:sz w:val="20"/>
                <w:szCs w:val="22"/>
                <w:lang w:val="es-CO"/>
              </w:rPr>
            </w:pPr>
            <w:r w:rsidRPr="00A03113">
              <w:rPr>
                <w:rStyle w:val="Ninguno"/>
                <w:rFonts w:ascii="Arial" w:hAnsi="Arial" w:cs="Arial"/>
                <w:b/>
                <w:sz w:val="20"/>
                <w:szCs w:val="22"/>
                <w:u w:color="000000"/>
                <w14:textOutline w14:w="12700" w14:cap="flat" w14:cmpd="sng" w14:algn="ctr">
                  <w14:noFill/>
                  <w14:prstDash w14:val="solid"/>
                  <w14:miter w14:lim="400000"/>
                </w14:textOutline>
              </w:rPr>
              <w:t xml:space="preserve">ley 1437 de 2011 </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E 2011</w:t>
            </w:r>
          </w:p>
        </w:tc>
        <w:tc>
          <w:tcPr>
            <w:tcW w:w="2835" w:type="dxa"/>
          </w:tcPr>
          <w:p w:rsidR="008D25DD" w:rsidRPr="00A03113" w:rsidRDefault="008D25DD" w:rsidP="008D25DD">
            <w:pPr>
              <w:keepNext/>
              <w:tabs>
                <w:tab w:val="left" w:pos="708"/>
                <w:tab w:val="left" w:pos="1416"/>
                <w:tab w:val="left" w:pos="2124"/>
                <w:tab w:val="left" w:pos="2832"/>
              </w:tabs>
              <w:rPr>
                <w:rFonts w:ascii="Arial" w:hAnsi="Arial" w:cs="Arial"/>
                <w:b/>
                <w:sz w:val="20"/>
                <w:szCs w:val="22"/>
              </w:rPr>
            </w:pPr>
            <w:r w:rsidRPr="00A03113">
              <w:rPr>
                <w:rStyle w:val="Ninguno"/>
                <w:rFonts w:ascii="Arial" w:hAnsi="Arial" w:cs="Arial"/>
                <w:b/>
                <w:sz w:val="20"/>
                <w:szCs w:val="22"/>
                <w:u w:color="000000"/>
                <w14:textOutline w14:w="12700" w14:cap="flat" w14:cmpd="sng" w14:algn="ctr">
                  <w14:noFill/>
                  <w14:prstDash w14:val="solid"/>
                  <w14:miter w14:lim="400000"/>
                </w14:textOutline>
              </w:rPr>
              <w:t>ley 2080 de 2021</w:t>
            </w:r>
            <w:r w:rsidRPr="00A03113">
              <w:rPr>
                <w:rStyle w:val="Ninguno"/>
                <w:rFonts w:ascii="Arial" w:hAnsi="Arial" w:cs="Arial"/>
                <w:b/>
                <w:bCs/>
                <w:color w:val="FFFFFF"/>
                <w:sz w:val="20"/>
                <w:szCs w:val="22"/>
                <w:u w:color="FFFFFF"/>
                <w14:textOutline w14:w="12700" w14:cap="flat" w14:cmpd="sng" w14:algn="ctr">
                  <w14:noFill/>
                  <w14:prstDash w14:val="solid"/>
                  <w14:miter w14:lim="400000"/>
                </w14:textOutline>
              </w:rPr>
              <w:t>2080 DE 2021</w:t>
            </w:r>
          </w:p>
        </w:tc>
      </w:tr>
      <w:tr w:rsidR="003D7A9B" w:rsidRPr="00A03113" w:rsidTr="008D25DD">
        <w:trPr>
          <w:trHeight w:val="2535"/>
        </w:trPr>
        <w:tc>
          <w:tcPr>
            <w:tcW w:w="3120" w:type="dxa"/>
          </w:tcPr>
          <w:p w:rsidR="003D7A9B" w:rsidRPr="00A03113" w:rsidRDefault="003D7A9B" w:rsidP="00035D69">
            <w:pPr>
              <w:tabs>
                <w:tab w:val="left" w:pos="708"/>
                <w:tab w:val="left" w:pos="1416"/>
                <w:tab w:val="left" w:pos="2124"/>
                <w:tab w:val="left" w:pos="2832"/>
              </w:tabs>
              <w:jc w:val="both"/>
              <w:rPr>
                <w:rFonts w:ascii="Arial" w:hAnsi="Arial" w:cs="Arial"/>
                <w:sz w:val="20"/>
                <w:szCs w:val="22"/>
                <w:lang w:val="es-CO"/>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PROVIDENCIAS SOBRE LAS QUE RECAE EL MECANISMO</w:t>
            </w:r>
          </w:p>
        </w:tc>
        <w:tc>
          <w:tcPr>
            <w:tcW w:w="2613" w:type="dxa"/>
          </w:tcPr>
          <w:p w:rsidR="003D7A9B" w:rsidRPr="00A03113" w:rsidRDefault="003D7A9B" w:rsidP="00035D69">
            <w:pPr>
              <w:tabs>
                <w:tab w:val="left" w:pos="708"/>
                <w:tab w:val="left" w:pos="1416"/>
                <w:tab w:val="left" w:pos="2124"/>
              </w:tabs>
              <w:spacing w:line="254" w:lineRule="atLeast"/>
              <w:jc w:val="both"/>
              <w:rPr>
                <w:rStyle w:val="Ninguno"/>
                <w:rFonts w:ascii="Arial" w:eastAsia="Helvetica Neue" w:hAnsi="Arial" w:cs="Arial"/>
                <w:color w:val="000000"/>
                <w:sz w:val="20"/>
                <w:szCs w:val="22"/>
                <w:u w:color="000000"/>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 xml:space="preserve">Son susceptibles de este mecanismo: </w:t>
            </w:r>
          </w:p>
          <w:p w:rsidR="003D7A9B" w:rsidRPr="00A03113" w:rsidRDefault="003D7A9B" w:rsidP="00035D69">
            <w:pPr>
              <w:numPr>
                <w:ilvl w:val="0"/>
                <w:numId w:val="1"/>
              </w:numPr>
              <w:spacing w:line="254" w:lineRule="atLeast"/>
              <w:jc w:val="both"/>
              <w:rPr>
                <w:rFonts w:ascii="Arial" w:hAnsi="Arial" w:cs="Arial"/>
                <w:color w:val="000000"/>
                <w:sz w:val="20"/>
                <w:szCs w:val="22"/>
                <w:u w:color="000000"/>
                <w:shd w:val="clear" w:color="auto" w:fill="E0E0E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 xml:space="preserve">Los asuntos pendientes de fallo en el Consejo de Estado. </w:t>
            </w:r>
          </w:p>
          <w:p w:rsidR="003D7A9B" w:rsidRPr="00A03113" w:rsidRDefault="003D7A9B" w:rsidP="00035D69">
            <w:pPr>
              <w:numPr>
                <w:ilvl w:val="0"/>
                <w:numId w:val="1"/>
              </w:numPr>
              <w:spacing w:line="254" w:lineRule="atLeast"/>
              <w:jc w:val="both"/>
              <w:rPr>
                <w:rFonts w:ascii="Arial" w:hAnsi="Arial" w:cs="Arial"/>
                <w:color w:val="000000"/>
                <w:sz w:val="20"/>
                <w:szCs w:val="22"/>
                <w:u w:color="000000"/>
                <w:shd w:val="clear" w:color="auto" w:fill="E0E0E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La ley 2080 en su artículo 71 incluye la decisión interlocutoria</w:t>
            </w:r>
          </w:p>
        </w:tc>
      </w:tr>
      <w:tr w:rsidR="003D7A9B" w:rsidRPr="00A03113" w:rsidTr="008D25DD">
        <w:trPr>
          <w:trHeight w:val="2164"/>
        </w:trPr>
        <w:tc>
          <w:tcPr>
            <w:tcW w:w="3120" w:type="dxa"/>
          </w:tcPr>
          <w:p w:rsidR="003D7A9B" w:rsidRPr="00A03113" w:rsidRDefault="003D7A9B" w:rsidP="00035D69">
            <w:pPr>
              <w:tabs>
                <w:tab w:val="left" w:pos="708"/>
                <w:tab w:val="left" w:pos="1416"/>
                <w:tab w:val="left" w:pos="2124"/>
                <w:tab w:val="left" w:pos="2832"/>
              </w:tabs>
              <w:jc w:val="both"/>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lastRenderedPageBreak/>
              <w:t>LEGITIMACIÓN POR ACTIVA</w:t>
            </w:r>
          </w:p>
        </w:tc>
        <w:tc>
          <w:tcPr>
            <w:tcW w:w="2613" w:type="dxa"/>
          </w:tcPr>
          <w:p w:rsidR="003D7A9B" w:rsidRPr="00A03113" w:rsidRDefault="003D7A9B" w:rsidP="00035D69">
            <w:pPr>
              <w:numPr>
                <w:ilvl w:val="0"/>
                <w:numId w:val="2"/>
              </w:numPr>
              <w:rPr>
                <w:rFonts w:ascii="Arial" w:hAnsi="Arial" w:cs="Arial"/>
                <w:color w:val="000000"/>
                <w:sz w:val="20"/>
                <w:szCs w:val="22"/>
                <w:u w:color="00000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El Consejo de Estado de oficio.</w:t>
            </w:r>
          </w:p>
          <w:p w:rsidR="003D7A9B" w:rsidRPr="00A03113" w:rsidRDefault="003D7A9B" w:rsidP="00035D69">
            <w:pPr>
              <w:numPr>
                <w:ilvl w:val="0"/>
                <w:numId w:val="2"/>
              </w:numPr>
              <w:rPr>
                <w:rFonts w:ascii="Arial" w:hAnsi="Arial" w:cs="Arial"/>
                <w:color w:val="000000"/>
                <w:sz w:val="20"/>
                <w:szCs w:val="22"/>
                <w:u w:color="00000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A solicitud de parte.</w:t>
            </w:r>
          </w:p>
          <w:p w:rsidR="003D7A9B" w:rsidRPr="00A03113" w:rsidRDefault="003D7A9B" w:rsidP="00035D69">
            <w:pPr>
              <w:numPr>
                <w:ilvl w:val="0"/>
                <w:numId w:val="2"/>
              </w:numPr>
              <w:rPr>
                <w:rFonts w:ascii="Arial" w:hAnsi="Arial" w:cs="Arial"/>
                <w:color w:val="000000"/>
                <w:sz w:val="20"/>
                <w:szCs w:val="22"/>
                <w:u w:color="00000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 xml:space="preserve">Los Tribunales por remisión de los asuntos que conocen en única o segunda instancia. </w:t>
            </w:r>
          </w:p>
          <w:p w:rsidR="003D7A9B" w:rsidRPr="00A03113" w:rsidRDefault="003D7A9B" w:rsidP="00035D69">
            <w:pPr>
              <w:numPr>
                <w:ilvl w:val="0"/>
                <w:numId w:val="2"/>
              </w:numPr>
              <w:rPr>
                <w:rFonts w:ascii="Arial" w:hAnsi="Arial" w:cs="Arial"/>
                <w:color w:val="000000"/>
                <w:sz w:val="20"/>
                <w:szCs w:val="22"/>
                <w:u w:color="00000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A petición del Ministerio Público. </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Con la reforma se incluye la Agencia Nacional de Defensa Jurídica del Estado</w:t>
            </w:r>
          </w:p>
        </w:tc>
      </w:tr>
      <w:tr w:rsidR="003D7A9B" w:rsidRPr="00A03113" w:rsidTr="008D25DD">
        <w:trPr>
          <w:trHeight w:val="2884"/>
        </w:trPr>
        <w:tc>
          <w:tcPr>
            <w:tcW w:w="3120" w:type="dxa"/>
          </w:tcPr>
          <w:p w:rsidR="003D7A9B" w:rsidRPr="00A03113" w:rsidRDefault="003D7A9B" w:rsidP="00035D69">
            <w:pPr>
              <w:tabs>
                <w:tab w:val="left" w:pos="708"/>
                <w:tab w:val="left" w:pos="1416"/>
                <w:tab w:val="left" w:pos="2124"/>
                <w:tab w:val="left" w:pos="2832"/>
              </w:tabs>
              <w:jc w:val="both"/>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 xml:space="preserve">COMPETENCIA </w:t>
            </w:r>
          </w:p>
        </w:tc>
        <w:tc>
          <w:tcPr>
            <w:tcW w:w="2613" w:type="dxa"/>
          </w:tcPr>
          <w:p w:rsidR="003D7A9B" w:rsidRPr="00A03113" w:rsidRDefault="003D7A9B" w:rsidP="00035D69">
            <w:pPr>
              <w:numPr>
                <w:ilvl w:val="0"/>
                <w:numId w:val="3"/>
              </w:numPr>
              <w:rPr>
                <w:rFonts w:ascii="Arial" w:hAnsi="Arial" w:cs="Arial"/>
                <w:color w:val="000000"/>
                <w:sz w:val="20"/>
                <w:szCs w:val="22"/>
                <w:u w:color="00000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 xml:space="preserve">Sala Plena de lo Contencioso Administrativo del Consejo de Estado cuando los asuntos provengan de sus secciones. </w:t>
            </w:r>
          </w:p>
          <w:p w:rsidR="003D7A9B" w:rsidRPr="00A03113" w:rsidRDefault="003D7A9B" w:rsidP="00035D69">
            <w:pPr>
              <w:numPr>
                <w:ilvl w:val="0"/>
                <w:numId w:val="4"/>
              </w:numPr>
              <w:rPr>
                <w:rFonts w:ascii="Arial" w:hAnsi="Arial" w:cs="Arial"/>
                <w:color w:val="000000"/>
                <w:sz w:val="20"/>
                <w:szCs w:val="22"/>
                <w:u w:color="000000"/>
                <w:lang w:val="es-ES_tradnl"/>
                <w14:textOutline w14:w="0" w14:cap="flat" w14:cmpd="sng" w14:algn="ctr">
                  <w14:noFill/>
                  <w14:prstDash w14:val="solid"/>
                  <w14:bevel/>
                </w14:textOutline>
              </w:rPr>
            </w:pPr>
            <w:r w:rsidRPr="00A03113">
              <w:rPr>
                <w:rStyle w:val="Ninguno"/>
                <w:rFonts w:ascii="Arial" w:hAnsi="Arial" w:cs="Arial"/>
                <w:color w:val="000000"/>
                <w:sz w:val="20"/>
                <w:szCs w:val="22"/>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La reforma incluye autos y sentencia.</w:t>
            </w: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Subseccines de la corporación despachos de los magistrados que la integran</w:t>
            </w:r>
          </w:p>
          <w:p w:rsidR="003D7A9B" w:rsidRPr="00A03113" w:rsidRDefault="003D7A9B" w:rsidP="00035D69">
            <w:pPr>
              <w:rPr>
                <w:rFonts w:ascii="Arial" w:hAnsi="Arial" w:cs="Arial"/>
                <w:sz w:val="20"/>
                <w:szCs w:val="22"/>
                <w:lang w:val="es-CO"/>
              </w:rPr>
            </w:pPr>
          </w:p>
          <w:p w:rsidR="003D7A9B" w:rsidRPr="00A03113" w:rsidRDefault="003D7A9B" w:rsidP="00035D69">
            <w:pPr>
              <w:rPr>
                <w:rFonts w:ascii="Arial" w:hAnsi="Arial" w:cs="Arial"/>
                <w:sz w:val="20"/>
                <w:szCs w:val="22"/>
                <w:lang w:val="es-CO"/>
              </w:rPr>
            </w:pPr>
          </w:p>
        </w:tc>
      </w:tr>
      <w:tr w:rsidR="003D7A9B" w:rsidRPr="00A03113" w:rsidTr="008D25DD">
        <w:trPr>
          <w:trHeight w:val="1924"/>
        </w:trPr>
        <w:tc>
          <w:tcPr>
            <w:tcW w:w="3120" w:type="dxa"/>
          </w:tcPr>
          <w:p w:rsidR="003D7A9B" w:rsidRPr="00A03113" w:rsidRDefault="003D7A9B" w:rsidP="00035D69">
            <w:pPr>
              <w:tabs>
                <w:tab w:val="left" w:pos="708"/>
                <w:tab w:val="left" w:pos="1416"/>
                <w:tab w:val="left" w:pos="2124"/>
                <w:tab w:val="left" w:pos="2832"/>
              </w:tabs>
              <w:jc w:val="both"/>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OPORTUNIDAD PROCESAL</w:t>
            </w:r>
          </w:p>
        </w:tc>
        <w:tc>
          <w:tcPr>
            <w:tcW w:w="2613" w:type="dxa"/>
          </w:tcPr>
          <w:p w:rsidR="003D7A9B" w:rsidRPr="00A03113" w:rsidRDefault="003D7A9B" w:rsidP="00035D69">
            <w:pPr>
              <w:pStyle w:val="Cuerpo"/>
              <w:tabs>
                <w:tab w:val="left" w:pos="708"/>
                <w:tab w:val="left" w:pos="1416"/>
                <w:tab w:val="left" w:pos="2124"/>
              </w:tabs>
              <w:jc w:val="both"/>
              <w:rPr>
                <w:rFonts w:ascii="Arial" w:hAnsi="Arial" w:cs="Arial"/>
                <w:sz w:val="20"/>
              </w:rPr>
            </w:pPr>
            <w:r w:rsidRPr="00A03113">
              <w:rPr>
                <w:rStyle w:val="Ninguno"/>
                <w:rFonts w:ascii="Arial" w:hAnsi="Arial" w:cs="Arial"/>
                <w:sz w:val="20"/>
                <w:u w:color="000000"/>
              </w:rPr>
              <w:t xml:space="preserve">El Consejo de Estado podrá asumir conocimiento mientras el asunto se encuentre pendiente de fallo ya sea en sus mismas secciones o proveniente de los tribunales. </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A solicitud de parte, de la Agencia Nacional de Defensa Jurídica del Estado hasta ante</w:t>
            </w:r>
            <w:bookmarkStart w:id="0" w:name="_GoBack"/>
            <w:bookmarkEnd w:id="0"/>
            <w:r w:rsidRPr="00A03113">
              <w:rPr>
                <w:rFonts w:ascii="Arial" w:hAnsi="Arial" w:cs="Arial"/>
                <w:sz w:val="20"/>
                <w:szCs w:val="22"/>
                <w:lang w:val="es-CO"/>
              </w:rPr>
              <w:t>s de que se registre ponencia de fallo</w:t>
            </w:r>
          </w:p>
        </w:tc>
      </w:tr>
      <w:tr w:rsidR="003D7A9B" w:rsidRPr="00A03113" w:rsidTr="008D25DD">
        <w:trPr>
          <w:trHeight w:val="2460"/>
        </w:trPr>
        <w:tc>
          <w:tcPr>
            <w:tcW w:w="3120" w:type="dxa"/>
          </w:tcPr>
          <w:p w:rsidR="003D7A9B" w:rsidRPr="00A03113" w:rsidRDefault="003D7A9B" w:rsidP="00035D69">
            <w:pPr>
              <w:tabs>
                <w:tab w:val="left" w:pos="708"/>
                <w:tab w:val="left" w:pos="1416"/>
                <w:tab w:val="left" w:pos="2124"/>
                <w:tab w:val="left" w:pos="2832"/>
              </w:tabs>
              <w:jc w:val="both"/>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CAUSALES</w:t>
            </w:r>
          </w:p>
        </w:tc>
        <w:tc>
          <w:tcPr>
            <w:tcW w:w="2613" w:type="dxa"/>
          </w:tcPr>
          <w:p w:rsidR="003D7A9B" w:rsidRPr="00A03113" w:rsidRDefault="003D7A9B" w:rsidP="00035D69">
            <w:pPr>
              <w:pStyle w:val="Cuerpo"/>
              <w:tabs>
                <w:tab w:val="left" w:pos="708"/>
                <w:tab w:val="left" w:pos="1416"/>
                <w:tab w:val="left" w:pos="2124"/>
              </w:tabs>
              <w:jc w:val="both"/>
              <w:rPr>
                <w:rFonts w:ascii="Arial" w:hAnsi="Arial" w:cs="Arial"/>
                <w:sz w:val="20"/>
              </w:rPr>
            </w:pPr>
            <w:r w:rsidRPr="00A03113">
              <w:rPr>
                <w:rStyle w:val="Ninguno"/>
                <w:rFonts w:ascii="Arial" w:hAnsi="Arial" w:cs="Arial"/>
                <w:sz w:val="20"/>
                <w:u w:color="000000"/>
              </w:rPr>
              <w:t>Se proferirán decisiones de unificación jurisprudencial en los siguientes casos:   por razones de importancia jurídica, trascendencia económica o social o necesidad de sentar jurisprudencia.</w:t>
            </w:r>
          </w:p>
        </w:tc>
        <w:tc>
          <w:tcPr>
            <w:tcW w:w="2835" w:type="dxa"/>
          </w:tcPr>
          <w:p w:rsidR="003D7A9B" w:rsidRPr="00A03113" w:rsidRDefault="003D7A9B" w:rsidP="00035D69">
            <w:pPr>
              <w:rPr>
                <w:rFonts w:ascii="Arial" w:hAnsi="Arial" w:cs="Arial"/>
                <w:sz w:val="20"/>
                <w:szCs w:val="22"/>
                <w:lang w:val="es-CO"/>
              </w:rPr>
            </w:pPr>
            <w:r w:rsidRPr="00A03113">
              <w:rPr>
                <w:rFonts w:ascii="Arial" w:hAnsi="Arial" w:cs="Arial"/>
                <w:sz w:val="20"/>
                <w:szCs w:val="22"/>
                <w:lang w:val="es-CO"/>
              </w:rPr>
              <w:t>Precisar el alcance  o resolver las divergencias en su interpretación y aplicación; las proferidas al decidir los recursos extraordinarios y las relativas al mecanismo eventual de revisión</w:t>
            </w:r>
          </w:p>
        </w:tc>
      </w:tr>
      <w:tr w:rsidR="003D7A9B" w:rsidRPr="00A03113" w:rsidTr="008D25DD">
        <w:trPr>
          <w:trHeight w:val="514"/>
        </w:trPr>
        <w:tc>
          <w:tcPr>
            <w:tcW w:w="3120" w:type="dxa"/>
          </w:tcPr>
          <w:p w:rsidR="003D7A9B" w:rsidRPr="00A03113" w:rsidRDefault="003D7A9B" w:rsidP="00035D69">
            <w:pPr>
              <w:tabs>
                <w:tab w:val="left" w:pos="708"/>
                <w:tab w:val="left" w:pos="1416"/>
                <w:tab w:val="left" w:pos="2124"/>
                <w:tab w:val="left" w:pos="2832"/>
              </w:tabs>
              <w:jc w:val="both"/>
              <w:rPr>
                <w:rFonts w:ascii="Arial" w:hAnsi="Arial" w:cs="Arial"/>
                <w:sz w:val="20"/>
                <w:szCs w:val="22"/>
              </w:rPr>
            </w:pPr>
            <w:r w:rsidRPr="00A03113">
              <w:rPr>
                <w:rStyle w:val="Ninguno"/>
                <w:rFonts w:ascii="Arial" w:hAnsi="Arial" w:cs="Arial"/>
                <w:b/>
                <w:bCs/>
                <w:color w:val="000000"/>
                <w:sz w:val="20"/>
                <w:szCs w:val="22"/>
                <w:u w:color="000000"/>
                <w14:textOutline w14:w="12700" w14:cap="flat" w14:cmpd="sng" w14:algn="ctr">
                  <w14:noFill/>
                  <w14:prstDash w14:val="solid"/>
                  <w14:miter w14:lim="400000"/>
                </w14:textOutline>
              </w:rPr>
              <w:t xml:space="preserve">MECANISMO ELECTRÓNICO DE IDENTIFICACIÓN </w:t>
            </w:r>
          </w:p>
        </w:tc>
        <w:tc>
          <w:tcPr>
            <w:tcW w:w="2613" w:type="dxa"/>
          </w:tcPr>
          <w:p w:rsidR="003D7A9B" w:rsidRPr="00A03113" w:rsidRDefault="003D7A9B" w:rsidP="00035D69">
            <w:pPr>
              <w:pStyle w:val="Cuerpo"/>
              <w:tabs>
                <w:tab w:val="left" w:pos="708"/>
                <w:tab w:val="left" w:pos="1416"/>
                <w:tab w:val="left" w:pos="2124"/>
              </w:tabs>
              <w:rPr>
                <w:rFonts w:ascii="Arial" w:hAnsi="Arial" w:cs="Arial"/>
                <w:sz w:val="20"/>
              </w:rPr>
            </w:pPr>
            <w:r w:rsidRPr="00A03113">
              <w:rPr>
                <w:rStyle w:val="Ninguno"/>
                <w:rFonts w:ascii="Arial" w:hAnsi="Arial" w:cs="Arial"/>
                <w:sz w:val="20"/>
                <w:u w:color="000000"/>
              </w:rPr>
              <w:t xml:space="preserve">                 X</w:t>
            </w:r>
          </w:p>
        </w:tc>
        <w:tc>
          <w:tcPr>
            <w:tcW w:w="2835" w:type="dxa"/>
          </w:tcPr>
          <w:p w:rsidR="003D7A9B" w:rsidRPr="00A03113" w:rsidRDefault="003D7A9B" w:rsidP="00035D69">
            <w:pPr>
              <w:rPr>
                <w:rFonts w:ascii="Arial" w:hAnsi="Arial" w:cs="Arial"/>
                <w:sz w:val="20"/>
                <w:szCs w:val="22"/>
              </w:rPr>
            </w:pPr>
          </w:p>
        </w:tc>
      </w:tr>
    </w:tbl>
    <w:p w:rsidR="003D7A9B" w:rsidRPr="00A03113" w:rsidRDefault="003D7A9B" w:rsidP="003D7A9B">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rFonts w:ascii="Arial" w:hAnsi="Arial" w:cs="Arial"/>
          <w:sz w:val="20"/>
          <w:szCs w:val="22"/>
          <w:u w:color="000000"/>
          <w14:textOutline w14:w="12700" w14:cap="flat" w14:cmpd="sng" w14:algn="ctr">
            <w14:noFill/>
            <w14:prstDash w14:val="solid"/>
            <w14:miter w14:lim="400000"/>
          </w14:textOutline>
        </w:rPr>
      </w:pPr>
    </w:p>
    <w:p w:rsidR="003D7A9B" w:rsidRPr="00A03113" w:rsidRDefault="003D7A9B" w:rsidP="003D7A9B">
      <w:pPr>
        <w:rPr>
          <w:rFonts w:ascii="Arial" w:hAnsi="Arial" w:cs="Arial"/>
          <w:sz w:val="20"/>
          <w:szCs w:val="22"/>
        </w:rPr>
      </w:pPr>
    </w:p>
    <w:p w:rsidR="008B569A" w:rsidRPr="00A03113" w:rsidRDefault="008B569A">
      <w:pPr>
        <w:rPr>
          <w:rFonts w:ascii="Arial" w:hAnsi="Arial" w:cs="Arial"/>
          <w:sz w:val="20"/>
          <w:szCs w:val="22"/>
        </w:rPr>
      </w:pPr>
    </w:p>
    <w:sectPr w:rsidR="008B569A" w:rsidRPr="00A031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A7" w:rsidRDefault="00BC3BA7">
      <w:r>
        <w:separator/>
      </w:r>
    </w:p>
  </w:endnote>
  <w:endnote w:type="continuationSeparator" w:id="0">
    <w:p w:rsidR="00BC3BA7" w:rsidRDefault="00BC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A7" w:rsidRDefault="00BC3BA7">
      <w:r>
        <w:separator/>
      </w:r>
    </w:p>
  </w:footnote>
  <w:footnote w:type="continuationSeparator" w:id="0">
    <w:p w:rsidR="00BC3BA7" w:rsidRDefault="00BC3B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9B"/>
    <w:rsid w:val="003D7A9B"/>
    <w:rsid w:val="00437D5C"/>
    <w:rsid w:val="008B569A"/>
    <w:rsid w:val="008D25DD"/>
    <w:rsid w:val="00A03113"/>
    <w:rsid w:val="00BC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7690"/>
  <w15:chartTrackingRefBased/>
  <w15:docId w15:val="{D192AC05-6FC8-420A-8B69-94C8CBC4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A9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3D7A9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_tradnl"/>
      <w14:textOutline w14:w="0" w14:cap="flat" w14:cmpd="sng" w14:algn="ctr">
        <w14:noFill/>
        <w14:prstDash w14:val="solid"/>
        <w14:bevel/>
      </w14:textOutline>
    </w:rPr>
  </w:style>
  <w:style w:type="character" w:customStyle="1" w:styleId="Ninguno">
    <w:name w:val="Ninguno"/>
    <w:rsid w:val="003D7A9B"/>
    <w:rPr>
      <w:lang w:val="es-ES_tradnl"/>
    </w:rPr>
  </w:style>
  <w:style w:type="table" w:customStyle="1" w:styleId="TableNormal">
    <w:name w:val="Table Normal"/>
    <w:rsid w:val="003D7A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CO" w:eastAsia="es-ES_tradnl"/>
    </w:rPr>
    <w:tblPr>
      <w:tblInd w:w="0" w:type="dxa"/>
      <w:tblCellMar>
        <w:top w:w="0" w:type="dxa"/>
        <w:left w:w="0" w:type="dxa"/>
        <w:bottom w:w="0" w:type="dxa"/>
        <w:right w:w="0" w:type="dxa"/>
      </w:tblCellMar>
    </w:tblPr>
  </w:style>
  <w:style w:type="paragraph" w:customStyle="1" w:styleId="Cuerpo">
    <w:name w:val="Cuerpo"/>
    <w:rsid w:val="003D7A9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3D7A9B"/>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3D7A9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3D7A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3D7A9B"/>
    <w:pPr>
      <w:tabs>
        <w:tab w:val="center" w:pos="4252"/>
        <w:tab w:val="right" w:pos="8504"/>
      </w:tabs>
    </w:pPr>
  </w:style>
  <w:style w:type="character" w:customStyle="1" w:styleId="EncabezadoCar">
    <w:name w:val="Encabezado Car"/>
    <w:basedOn w:val="Fuentedeprrafopredeter"/>
    <w:link w:val="Encabezado"/>
    <w:uiPriority w:val="99"/>
    <w:rsid w:val="003D7A9B"/>
    <w:rPr>
      <w:rFonts w:ascii="Times New Roman" w:eastAsia="Arial Unicode MS" w:hAnsi="Times New Roman" w:cs="Times New Roman"/>
      <w:sz w:val="24"/>
      <w:szCs w:val="24"/>
      <w:bdr w:val="nil"/>
    </w:rPr>
  </w:style>
  <w:style w:type="table" w:styleId="Tablaconcuadrcula">
    <w:name w:val="Table Grid"/>
    <w:basedOn w:val="Tablanormal"/>
    <w:uiPriority w:val="39"/>
    <w:rsid w:val="008D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03113"/>
    <w:pPr>
      <w:tabs>
        <w:tab w:val="center" w:pos="4419"/>
        <w:tab w:val="right" w:pos="8838"/>
      </w:tabs>
    </w:pPr>
  </w:style>
  <w:style w:type="character" w:customStyle="1" w:styleId="PiedepginaCar">
    <w:name w:val="Pie de página Car"/>
    <w:basedOn w:val="Fuentedeprrafopredeter"/>
    <w:link w:val="Piedepgina"/>
    <w:uiPriority w:val="99"/>
    <w:rsid w:val="00A03113"/>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1211</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FERNANDO DUARTE PEREZ</dc:creator>
  <cp:keywords/>
  <dc:description/>
  <cp:lastModifiedBy>JOSE FERNANDO DUARTE PEREZ</cp:lastModifiedBy>
  <cp:revision>3</cp:revision>
  <dcterms:created xsi:type="dcterms:W3CDTF">2021-09-18T17:51:00Z</dcterms:created>
  <dcterms:modified xsi:type="dcterms:W3CDTF">2021-09-18T17:57:00Z</dcterms:modified>
</cp:coreProperties>
</file>