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8829" w14:textId="77777777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inguno"/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64786A" w14:textId="77777777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inguno"/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6C6D72" w14:textId="77777777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Ninguno"/>
          <w:rFonts w:ascii="Helvetica" w:eastAsia="Helvetica" w:hAnsi="Helvetica" w:cs="Helvetica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Helvetica" w:hAnsi="Helvetic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TALLER SOBRE RECURSOS EXTRAORDINARIOS DE LA MESA DE ESTUDIO No. 3. (Trabajo asincrónico)</w:t>
      </w:r>
      <w:r>
        <w:rPr>
          <w:rStyle w:val="Ninguno"/>
          <w:rFonts w:ascii="Helvetica" w:eastAsia="Helvetica" w:hAnsi="Helvetica" w:cs="Helvetic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37EAA95C" w14:textId="7601D58C" w:rsidR="00F17D9A" w:rsidRPr="002605F6" w:rsidRDefault="00F17D9A">
      <w:pPr>
        <w:rPr>
          <w:lang w:val="es-CO"/>
        </w:rPr>
      </w:pPr>
    </w:p>
    <w:p w14:paraId="5334AA61" w14:textId="0290DC45" w:rsidR="00E93FC5" w:rsidRDefault="00E93FC5" w:rsidP="00475518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1. RECURSO EXTRAORDINARIO DE REVISIÓN</w:t>
      </w:r>
      <w:r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F6A5A7D" w14:textId="1AE10FD6" w:rsidR="00E93FC5" w:rsidRPr="00475518" w:rsidRDefault="00E93FC5">
      <w:pPr>
        <w:rPr>
          <w:lang w:val="es-CO"/>
        </w:rPr>
      </w:pPr>
    </w:p>
    <w:tbl>
      <w:tblPr>
        <w:tblStyle w:val="TableNormal"/>
        <w:tblW w:w="85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48"/>
        <w:gridCol w:w="3085"/>
        <w:gridCol w:w="2835"/>
      </w:tblGrid>
      <w:tr w:rsidR="00D72923" w:rsidRPr="00D72923" w14:paraId="2D79B471" w14:textId="77777777" w:rsidTr="000A56E3">
        <w:trPr>
          <w:trHeight w:val="324"/>
          <w:tblHeader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C91B" w14:textId="77777777" w:rsidR="00E93FC5" w:rsidRPr="00D72923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" w:hAnsi="Helvetica"/>
                <w:color w:val="FFFFFF" w:themeColor="background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FFFFFF" w:themeColor="background1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C0B1" w14:textId="77777777" w:rsidR="00E93FC5" w:rsidRPr="00D72923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Helvetica" w:hAnsi="Helvetica"/>
                <w:color w:val="FFFFFF" w:themeColor="background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FFFFFF" w:themeColor="background1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FC66" w14:textId="77777777" w:rsidR="00E93FC5" w:rsidRPr="00D72923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Helvetica" w:hAnsi="Helvetica"/>
                <w:color w:val="FFFFFF" w:themeColor="background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FFFFFF" w:themeColor="background1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D72923" w:rsidRPr="00D06E92" w14:paraId="67A87BF5" w14:textId="77777777" w:rsidTr="000A56E3">
        <w:tblPrEx>
          <w:shd w:val="clear" w:color="auto" w:fill="CDD4E9"/>
        </w:tblPrEx>
        <w:trPr>
          <w:trHeight w:val="489"/>
          <w:jc w:val="center"/>
        </w:trPr>
        <w:tc>
          <w:tcPr>
            <w:tcW w:w="2648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0F4B" w14:textId="77777777" w:rsidR="00E93FC5" w:rsidRPr="00D72923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" w:hAnsi="Helvetica"/>
                <w:color w:val="000000" w:themeColor="text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000000" w:themeColor="text1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INADMISIÓN DEL RECURSO</w:t>
            </w:r>
          </w:p>
        </w:tc>
        <w:tc>
          <w:tcPr>
            <w:tcW w:w="308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8B96" w14:textId="619DA1BA" w:rsidR="00E93FC5" w:rsidRPr="00D72923" w:rsidRDefault="00D72923" w:rsidP="00D72923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D72923">
              <w:rPr>
                <w:rFonts w:ascii="Helvetica" w:hAnsi="Helvetica"/>
                <w:color w:val="000000" w:themeColor="text1"/>
              </w:rPr>
              <w:t>X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A6BE" w14:textId="78591E38" w:rsidR="00D72923" w:rsidRPr="00D72923" w:rsidRDefault="00D72923" w:rsidP="00D7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" w:eastAsia="Times New Roman" w:hAnsi="Helvetica"/>
                <w:color w:val="000000" w:themeColor="text1"/>
                <w:bdr w:val="none" w:sz="0" w:space="0" w:color="auto"/>
                <w:lang w:val="es-CO"/>
              </w:rPr>
            </w:pPr>
            <w:r w:rsidRPr="00D72923">
              <w:rPr>
                <w:rFonts w:ascii="Helvetica" w:hAnsi="Helvetica" w:cs="Open Sans"/>
                <w:color w:val="000000" w:themeColor="text1"/>
                <w:lang w:val="es-CO"/>
              </w:rPr>
              <w:t>Se inadmite por no reunir los requisitos formales exigidos en el artículo</w:t>
            </w:r>
            <w:r w:rsidRPr="00D72923">
              <w:rPr>
                <w:rStyle w:val="apple-converted-space"/>
                <w:rFonts w:ascii="Helvetica" w:hAnsi="Helvetica" w:cs="Open Sans"/>
                <w:color w:val="000000" w:themeColor="text1"/>
                <w:lang w:val="es-CO"/>
              </w:rPr>
              <w:t> </w:t>
            </w:r>
            <w:hyperlink r:id="rId7" w:anchor="252" w:history="1">
              <w:r w:rsidRPr="0018547F">
                <w:rPr>
                  <w:rStyle w:val="Hipervnculo"/>
                  <w:rFonts w:ascii="Helvetica" w:hAnsi="Helvetica" w:cs="Open Sans"/>
                  <w:color w:val="000000" w:themeColor="text1"/>
                  <w:u w:val="none"/>
                  <w:lang w:val="es-CO"/>
                </w:rPr>
                <w:t>252</w:t>
              </w:r>
            </w:hyperlink>
            <w:r w:rsidRPr="0018547F">
              <w:rPr>
                <w:rFonts w:ascii="Helvetica" w:hAnsi="Helvetica"/>
                <w:color w:val="000000" w:themeColor="text1"/>
                <w:lang w:val="es-CO"/>
              </w:rPr>
              <w:t xml:space="preserve"> del CPACA</w:t>
            </w:r>
            <w:r w:rsidRPr="0018547F">
              <w:rPr>
                <w:rFonts w:ascii="Helvetica" w:hAnsi="Helvetica" w:cs="Open Sans"/>
                <w:color w:val="000000" w:themeColor="text1"/>
                <w:lang w:val="es-CO"/>
              </w:rPr>
              <w:t>, se concederá al recurrente un plazo de 5</w:t>
            </w:r>
            <w:r w:rsidRPr="00D72923">
              <w:rPr>
                <w:rFonts w:ascii="Helvetica" w:hAnsi="Helvetica" w:cs="Open Sans"/>
                <w:color w:val="000000" w:themeColor="text1"/>
                <w:lang w:val="es-CO"/>
              </w:rPr>
              <w:t xml:space="preserve"> días para subsanar los defectos.</w:t>
            </w:r>
          </w:p>
          <w:p w14:paraId="20FEBD14" w14:textId="77777777" w:rsidR="00E93FC5" w:rsidRPr="00D72923" w:rsidRDefault="00E93FC5" w:rsidP="00D72923">
            <w:pPr>
              <w:jc w:val="both"/>
              <w:rPr>
                <w:rFonts w:ascii="Helvetica" w:hAnsi="Helvetica"/>
                <w:color w:val="000000" w:themeColor="text1"/>
                <w:lang w:val="es-CO"/>
              </w:rPr>
            </w:pPr>
          </w:p>
        </w:tc>
      </w:tr>
      <w:tr w:rsidR="00D72923" w:rsidRPr="00D06E92" w14:paraId="469A677C" w14:textId="77777777" w:rsidTr="000A56E3">
        <w:tblPrEx>
          <w:shd w:val="clear" w:color="auto" w:fill="CDD4E9"/>
        </w:tblPrEx>
        <w:trPr>
          <w:trHeight w:val="48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6216" w14:textId="77777777" w:rsidR="00E93FC5" w:rsidRPr="00D72923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" w:hAnsi="Helvetica"/>
                <w:color w:val="000000" w:themeColor="text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000000" w:themeColor="text1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 DE RECHAZO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B809" w14:textId="290F3F88" w:rsidR="00E93FC5" w:rsidRPr="00D72923" w:rsidRDefault="00D72923" w:rsidP="00D72923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D72923">
              <w:rPr>
                <w:rFonts w:ascii="Helvetica" w:hAnsi="Helvetica"/>
                <w:color w:val="000000" w:themeColor="text1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9528" w14:textId="77777777" w:rsidR="00D72923" w:rsidRPr="00D72923" w:rsidRDefault="00D72923" w:rsidP="00D72923">
            <w:pPr>
              <w:pStyle w:val="NormalWeb"/>
              <w:spacing w:line="270" w:lineRule="atLeast"/>
              <w:jc w:val="both"/>
              <w:rPr>
                <w:rFonts w:ascii="Helvetica" w:hAnsi="Helvetica" w:cs="Open Sans"/>
                <w:color w:val="000000" w:themeColor="text1"/>
              </w:rPr>
            </w:pPr>
            <w:r w:rsidRPr="00D72923">
              <w:rPr>
                <w:rFonts w:ascii="Helvetica" w:hAnsi="Helvetica" w:cs="Open Sans"/>
                <w:color w:val="000000" w:themeColor="text1"/>
              </w:rPr>
              <w:t>El recurso se rechazará cuando:</w:t>
            </w:r>
            <w:r w:rsidRPr="00D72923">
              <w:rPr>
                <w:rStyle w:val="apple-converted-space"/>
                <w:rFonts w:ascii="Helvetica" w:hAnsi="Helvetica" w:cs="Open Sans"/>
                <w:color w:val="000000" w:themeColor="text1"/>
              </w:rPr>
              <w:t> </w:t>
            </w:r>
          </w:p>
          <w:p w14:paraId="3660DC60" w14:textId="77777777" w:rsidR="00D72923" w:rsidRPr="00D72923" w:rsidRDefault="00D72923" w:rsidP="00D72923">
            <w:pPr>
              <w:pStyle w:val="NormalWeb"/>
              <w:spacing w:line="270" w:lineRule="atLeast"/>
              <w:jc w:val="both"/>
              <w:rPr>
                <w:rFonts w:ascii="Helvetica" w:hAnsi="Helvetica" w:cs="Open Sans"/>
                <w:color w:val="000000" w:themeColor="text1"/>
              </w:rPr>
            </w:pPr>
            <w:r w:rsidRPr="00D72923">
              <w:rPr>
                <w:rFonts w:ascii="Helvetica" w:hAnsi="Helvetica" w:cs="Open Sans"/>
                <w:color w:val="000000" w:themeColor="text1"/>
              </w:rPr>
              <w:t>1. No se presente en el término legal.</w:t>
            </w:r>
            <w:r w:rsidRPr="00D72923">
              <w:rPr>
                <w:rStyle w:val="apple-converted-space"/>
                <w:rFonts w:ascii="Helvetica" w:hAnsi="Helvetica" w:cs="Open Sans"/>
                <w:color w:val="000000" w:themeColor="text1"/>
              </w:rPr>
              <w:t> </w:t>
            </w:r>
          </w:p>
          <w:p w14:paraId="3CF3153C" w14:textId="77777777" w:rsidR="00D72923" w:rsidRPr="00D72923" w:rsidRDefault="00D72923" w:rsidP="00D72923">
            <w:pPr>
              <w:pStyle w:val="NormalWeb"/>
              <w:spacing w:line="270" w:lineRule="atLeast"/>
              <w:jc w:val="both"/>
              <w:rPr>
                <w:rFonts w:ascii="Helvetica" w:hAnsi="Helvetica" w:cs="Open Sans"/>
                <w:color w:val="000000" w:themeColor="text1"/>
              </w:rPr>
            </w:pPr>
            <w:r w:rsidRPr="00D72923">
              <w:rPr>
                <w:rFonts w:ascii="Helvetica" w:hAnsi="Helvetica" w:cs="Open Sans"/>
                <w:color w:val="000000" w:themeColor="text1"/>
              </w:rPr>
              <w:t>2. Haya sido formulado por quien carece de legitimación para hacerlo.</w:t>
            </w:r>
            <w:r w:rsidRPr="00D72923">
              <w:rPr>
                <w:rStyle w:val="apple-converted-space"/>
                <w:rFonts w:ascii="Helvetica" w:hAnsi="Helvetica" w:cs="Open Sans"/>
                <w:color w:val="000000" w:themeColor="text1"/>
              </w:rPr>
              <w:t> </w:t>
            </w:r>
          </w:p>
          <w:p w14:paraId="548267C7" w14:textId="77777777" w:rsidR="00D72923" w:rsidRPr="00D72923" w:rsidRDefault="00D72923" w:rsidP="00D72923">
            <w:pPr>
              <w:pStyle w:val="NormalWeb"/>
              <w:spacing w:line="270" w:lineRule="atLeast"/>
              <w:jc w:val="both"/>
              <w:rPr>
                <w:rFonts w:ascii="Helvetica" w:hAnsi="Helvetica" w:cs="Open Sans"/>
                <w:color w:val="000000" w:themeColor="text1"/>
              </w:rPr>
            </w:pPr>
            <w:r w:rsidRPr="00D72923">
              <w:rPr>
                <w:rFonts w:ascii="Helvetica" w:hAnsi="Helvetica" w:cs="Open Sans"/>
                <w:color w:val="000000" w:themeColor="text1"/>
              </w:rPr>
              <w:t>3. No se subsanen en término las falencias advertidas en la inadmisión.</w:t>
            </w:r>
          </w:p>
          <w:p w14:paraId="73EC2D7F" w14:textId="77777777" w:rsidR="00E93FC5" w:rsidRPr="00D72923" w:rsidRDefault="00E93FC5" w:rsidP="00D72923">
            <w:pPr>
              <w:jc w:val="both"/>
              <w:rPr>
                <w:rFonts w:ascii="Helvetica" w:hAnsi="Helvetica"/>
                <w:color w:val="000000" w:themeColor="text1"/>
                <w:lang w:val="es-CO"/>
              </w:rPr>
            </w:pPr>
          </w:p>
        </w:tc>
      </w:tr>
      <w:tr w:rsidR="00D72923" w:rsidRPr="00D06E92" w14:paraId="11483C3F" w14:textId="77777777" w:rsidTr="000A56E3">
        <w:tblPrEx>
          <w:shd w:val="clear" w:color="auto" w:fill="CDD4E9"/>
        </w:tblPrEx>
        <w:trPr>
          <w:trHeight w:val="2203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CDC0" w14:textId="77777777" w:rsidR="00E93FC5" w:rsidRPr="00D72923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" w:hAnsi="Helvetica"/>
                <w:color w:val="000000" w:themeColor="text1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000000" w:themeColor="text1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NOTIFICACIÓN AUTO ADMISORIO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0016" w14:textId="77777777" w:rsidR="00E93FC5" w:rsidRPr="00D72923" w:rsidRDefault="00E93FC5" w:rsidP="00E321DA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72923">
              <w:rPr>
                <w:rStyle w:val="Ninguno"/>
                <w:rFonts w:ascii="Helvetica" w:hAnsi="Helvetica"/>
                <w:color w:val="000000" w:themeColor="text1"/>
                <w:sz w:val="20"/>
                <w:szCs w:val="20"/>
                <w:u w:color="000000"/>
              </w:rPr>
              <w:t>Se notificará personalmente a la contraparte y al Ministerio Público para que lo contesten, si a bien tienen, y pidan pruebas, dentro del término de diez (10) días.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34D2" w14:textId="77777777" w:rsidR="00E93FC5" w:rsidRPr="00D72923" w:rsidRDefault="00E93FC5" w:rsidP="00D72923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Style w:val="Ninguno"/>
                <w:rFonts w:ascii="Helvetica" w:hAnsi="Helvetica"/>
                <w:color w:val="000000" w:themeColor="text1"/>
                <w:sz w:val="20"/>
                <w:szCs w:val="20"/>
                <w:u w:color="000000"/>
              </w:rPr>
            </w:pPr>
            <w:r w:rsidRPr="00D72923">
              <w:rPr>
                <w:rStyle w:val="Ninguno"/>
                <w:rFonts w:ascii="Helvetica" w:hAnsi="Helvetica"/>
                <w:color w:val="000000" w:themeColor="text1"/>
                <w:sz w:val="20"/>
                <w:szCs w:val="20"/>
                <w:u w:color="000000"/>
              </w:rPr>
              <w:t>Se notificará personalmente a la contraparte y al Ministerio Público para que lo contesten dentro de los diez (10) días siguientes, si a bien lo tienen, y pidan pruebas.  </w:t>
            </w:r>
          </w:p>
          <w:p w14:paraId="02B91431" w14:textId="77777777" w:rsidR="00E93FC5" w:rsidRPr="00D72923" w:rsidRDefault="00E93FC5" w:rsidP="00D72923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D72923" w:rsidRPr="00D06E92" w14:paraId="337DE55F" w14:textId="77777777" w:rsidTr="000A56E3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0952" w14:textId="77777777" w:rsidR="00E93FC5" w:rsidRPr="00D72923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" w:hAnsi="Helvetica"/>
                <w:color w:val="000000" w:themeColor="text1"/>
                <w:lang w:val="es-CO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000000" w:themeColor="text1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EXCEPCIONES PREVIAS Y REFORMA DEL RECURSO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3D64" w14:textId="6329F6C8" w:rsidR="00E93FC5" w:rsidRPr="00D72923" w:rsidRDefault="00D72923" w:rsidP="00D72923">
            <w:pPr>
              <w:jc w:val="center"/>
              <w:rPr>
                <w:rFonts w:ascii="Helvetica" w:hAnsi="Helvetica"/>
                <w:color w:val="000000" w:themeColor="text1"/>
                <w:lang w:val="es-CO"/>
              </w:rPr>
            </w:pPr>
            <w:r w:rsidRPr="00D72923">
              <w:rPr>
                <w:rFonts w:ascii="Helvetica" w:hAnsi="Helvetica"/>
                <w:color w:val="000000" w:themeColor="text1"/>
                <w:lang w:val="es-CO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9C50" w14:textId="1818F913" w:rsidR="00D72923" w:rsidRPr="00D72923" w:rsidRDefault="00D72923" w:rsidP="00D7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" w:eastAsia="Times New Roman" w:hAnsi="Helvetica"/>
                <w:color w:val="000000" w:themeColor="text1"/>
                <w:bdr w:val="none" w:sz="0" w:space="0" w:color="auto"/>
                <w:lang w:val="es-CO"/>
              </w:rPr>
            </w:pPr>
            <w:r w:rsidRPr="00D72923">
              <w:rPr>
                <w:rFonts w:ascii="Helvetica" w:hAnsi="Helvetica" w:cs="Open Sans"/>
                <w:color w:val="000000" w:themeColor="text1"/>
                <w:lang w:val="es-CO"/>
              </w:rPr>
              <w:t>No se pueden proponer excepciones previas y tampoco reformar el recurso de revisión.</w:t>
            </w:r>
          </w:p>
          <w:p w14:paraId="13C624C9" w14:textId="77777777" w:rsidR="00E93FC5" w:rsidRPr="00D72923" w:rsidRDefault="00E93FC5" w:rsidP="00D72923">
            <w:pPr>
              <w:jc w:val="both"/>
              <w:rPr>
                <w:rFonts w:ascii="Helvetica" w:hAnsi="Helvetica"/>
                <w:color w:val="000000" w:themeColor="text1"/>
                <w:lang w:val="es-CO"/>
              </w:rPr>
            </w:pPr>
          </w:p>
        </w:tc>
      </w:tr>
      <w:tr w:rsidR="00D72923" w:rsidRPr="00D06E92" w14:paraId="65D3B696" w14:textId="77777777" w:rsidTr="000A56E3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49BF" w14:textId="77777777" w:rsidR="00E93FC5" w:rsidRPr="00D72923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" w:hAnsi="Helvetica"/>
                <w:color w:val="000000" w:themeColor="text1"/>
                <w:lang w:val="es-CO"/>
              </w:rPr>
            </w:pPr>
            <w:r w:rsidRPr="00D72923">
              <w:rPr>
                <w:rStyle w:val="Ninguno"/>
                <w:rFonts w:ascii="Helvetica" w:hAnsi="Helvetica" w:cs="Arial Unicode MS"/>
                <w:b/>
                <w:bCs/>
                <w:color w:val="000000" w:themeColor="text1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SUSPENSIÓN CUMPLIMIENTO DE LA SENTENCIA 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B153B" w14:textId="3A0A9487" w:rsidR="00E93FC5" w:rsidRPr="00D72923" w:rsidRDefault="00D72923" w:rsidP="00D72923">
            <w:pPr>
              <w:jc w:val="center"/>
              <w:rPr>
                <w:rFonts w:ascii="Helvetica" w:hAnsi="Helvetica"/>
                <w:color w:val="000000" w:themeColor="text1"/>
                <w:lang w:val="es-CO"/>
              </w:rPr>
            </w:pPr>
            <w:r w:rsidRPr="00D72923">
              <w:rPr>
                <w:rFonts w:ascii="Helvetica" w:hAnsi="Helvetica"/>
                <w:color w:val="000000" w:themeColor="text1"/>
                <w:lang w:val="es-CO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4130" w14:textId="2B30799F" w:rsidR="00E93FC5" w:rsidRPr="00D72923" w:rsidRDefault="00D72923" w:rsidP="00D72923">
            <w:pPr>
              <w:jc w:val="both"/>
              <w:rPr>
                <w:rFonts w:ascii="Helvetica" w:hAnsi="Helvetica"/>
                <w:color w:val="000000" w:themeColor="text1"/>
                <w:lang w:val="es-CO"/>
              </w:rPr>
            </w:pPr>
            <w:r w:rsidRPr="00D72923">
              <w:rPr>
                <w:rFonts w:ascii="Helvetica" w:hAnsi="Helvetica"/>
                <w:color w:val="000000" w:themeColor="text1"/>
                <w:lang w:val="es-CO"/>
              </w:rPr>
              <w:t>En ningún caso se suspende el cumplimiento de la sentencia.</w:t>
            </w:r>
          </w:p>
        </w:tc>
      </w:tr>
    </w:tbl>
    <w:p w14:paraId="47293B11" w14:textId="7E9668D9" w:rsidR="00E93FC5" w:rsidRPr="002605F6" w:rsidRDefault="00E93FC5">
      <w:pPr>
        <w:rPr>
          <w:lang w:val="es-CO"/>
        </w:rPr>
      </w:pPr>
    </w:p>
    <w:p w14:paraId="6B414E61" w14:textId="4368E1B0" w:rsidR="00E93FC5" w:rsidRPr="002605F6" w:rsidRDefault="00E93FC5">
      <w:pPr>
        <w:rPr>
          <w:lang w:val="es-CO"/>
        </w:rPr>
      </w:pPr>
    </w:p>
    <w:p w14:paraId="0F61CF39" w14:textId="7A07EE71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Sentencia</w:t>
      </w:r>
      <w:r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D12A140" w14:textId="2EC0EA1F" w:rsidR="00E93FC5" w:rsidRDefault="00E93FC5"/>
    <w:p w14:paraId="39E260E2" w14:textId="3CAB8BBA" w:rsidR="00E93FC5" w:rsidRDefault="00E93FC5"/>
    <w:tbl>
      <w:tblPr>
        <w:tblStyle w:val="TableNormal"/>
        <w:tblW w:w="85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755"/>
        <w:gridCol w:w="2693"/>
      </w:tblGrid>
      <w:tr w:rsidR="00E93FC5" w14:paraId="18D30E3B" w14:textId="77777777" w:rsidTr="00E321DA">
        <w:trPr>
          <w:trHeight w:val="314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2569" w14:textId="77777777" w:rsidR="00E93FC5" w:rsidRDefault="00E93FC5" w:rsidP="00E321DA">
            <w:pPr>
              <w:pStyle w:val="Estilodetabla3A"/>
              <w:jc w:val="center"/>
            </w:pPr>
            <w:r>
              <w:rPr>
                <w:rStyle w:val="Ninguno"/>
              </w:rPr>
              <w:t>ASPECTOS PROCESALES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FC92" w14:textId="13AC4854" w:rsidR="00E93FC5" w:rsidRPr="00FF6F38" w:rsidRDefault="00E93FC5" w:rsidP="00E321DA">
            <w:pPr>
              <w:pStyle w:val="Estilodetabla3A"/>
              <w:jc w:val="center"/>
              <w:rPr>
                <w:rFonts w:asciiTheme="minorHAnsi" w:hAnsiTheme="minorHAnsi"/>
              </w:rPr>
            </w:pPr>
            <w:r w:rsidRPr="00FF6F38">
              <w:rPr>
                <w:rStyle w:val="Ninguno"/>
                <w:rFonts w:asciiTheme="minorHAnsi" w:hAnsiTheme="minorHAnsi"/>
              </w:rPr>
              <w:t>LEY 1437 DE 2011</w:t>
            </w:r>
            <w:r>
              <w:rPr>
                <w:rStyle w:val="Ninguno"/>
                <w:rFonts w:asciiTheme="minorHAnsi" w:hAnsiTheme="minorHAnsi"/>
              </w:rPr>
              <w:t xml:space="preserve"> (texto original)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4C34" w14:textId="77777777" w:rsidR="00E93FC5" w:rsidRDefault="00E93FC5" w:rsidP="00E321DA">
            <w:pPr>
              <w:pStyle w:val="Estilodetabla3A"/>
              <w:jc w:val="center"/>
            </w:pPr>
            <w:r>
              <w:rPr>
                <w:rStyle w:val="Ninguno"/>
              </w:rPr>
              <w:t xml:space="preserve"> LEY 2080 DE 2021</w:t>
            </w:r>
          </w:p>
        </w:tc>
      </w:tr>
      <w:tr w:rsidR="00E93FC5" w:rsidRPr="00D06E92" w14:paraId="08E468B4" w14:textId="77777777" w:rsidTr="00E321DA">
        <w:tblPrEx>
          <w:shd w:val="clear" w:color="auto" w:fill="CDD4E9"/>
        </w:tblPrEx>
        <w:trPr>
          <w:trHeight w:val="1489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AEC5" w14:textId="77777777" w:rsidR="00E93FC5" w:rsidRPr="00776780" w:rsidRDefault="00E93FC5" w:rsidP="00E321DA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>SENTENCIA POR LAS CAUSALES: de los numerales 1 a 4 y 6 a 8 del artículo 250 del CPACA o del literal b) del artículo 20 de la Ley 797 de 2003</w:t>
            </w:r>
            <w:r>
              <w:rPr>
                <w:rStyle w:val="Ninguno"/>
                <w:b/>
                <w:bCs/>
              </w:rPr>
              <w:t>.</w:t>
            </w:r>
            <w:r w:rsidRPr="00776780">
              <w:rPr>
                <w:rStyle w:val="Ninguno"/>
                <w:b/>
                <w:bCs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B20B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2605F6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Artículo 250 del CPACA</w:t>
            </w:r>
            <w:r w:rsidRPr="002605F6">
              <w:rPr>
                <w:rFonts w:asciiTheme="minorHAnsi" w:hAnsiTheme="minorHAnsi" w:cstheme="minorHAnsi"/>
                <w:color w:val="000000" w:themeColor="text1"/>
                <w:u w:val="single"/>
              </w:rPr>
              <w:t>:</w:t>
            </w:r>
          </w:p>
          <w:p w14:paraId="4E214F26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1. Haberse encontrado o recobrado después de dictada la sentencia documentos decisivos, con los cuales se hubiera podido proferir una decisión diferente y que el recurrente no pudo aportarlos al proceso por fuerza mayor o caso fortuito o por obra de la parte contraria. </w:t>
            </w:r>
          </w:p>
          <w:p w14:paraId="6EE64802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2. Haberse dictado la sentencia con fundamento en documentos falsos o adulterados. </w:t>
            </w:r>
          </w:p>
          <w:p w14:paraId="13656173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3. Haberse dictado la sentencia con base en dictamen de peritos condenados penalmente por ilícitos cometidos en su expedición. </w:t>
            </w:r>
          </w:p>
          <w:p w14:paraId="335841D5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4. Haberse dictado sentencia penal que declare que hubo violencia o cohecho en el pronunciamiento de la sentencia. </w:t>
            </w:r>
          </w:p>
          <w:p w14:paraId="5BE2660A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6. Aparecer, después de dictada la sentencia a favor de una persona, otra con mejor derecho para reclamar. </w:t>
            </w:r>
          </w:p>
          <w:p w14:paraId="1771696C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 xml:space="preserve">7. No tener la persona en cuyo favor se decretó una prestación periódica, al tiempo del reconocimiento, la aptitud legal </w:t>
            </w:r>
            <w:r w:rsidRPr="002605F6">
              <w:rPr>
                <w:rFonts w:asciiTheme="minorHAnsi" w:hAnsiTheme="minorHAnsi" w:cstheme="minorHAnsi"/>
                <w:color w:val="000000" w:themeColor="text1"/>
              </w:rPr>
              <w:lastRenderedPageBreak/>
              <w:t>necesaria o perder esa aptitud con posterioridad a la sentencia o sobrevenir alguna de las causales legales para su pérdida.</w:t>
            </w:r>
          </w:p>
          <w:p w14:paraId="74E61B43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8. Ser la sentencia contraria a otra anterior que constituya cosa juzgada entre las partes del proceso en que aquella fue dictada. Sin embargo, no habrá lugar a revisión si en el segundo proceso se propuso la excepción de cosa juzgada y fue rechazada. </w:t>
            </w:r>
          </w:p>
          <w:p w14:paraId="3AB0E109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B5EE50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2605F6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Artículo 20 de la Ley 797 de 2003:</w:t>
            </w:r>
          </w:p>
          <w:p w14:paraId="148436F3" w14:textId="77777777" w:rsidR="00E93FC5" w:rsidRPr="002605F6" w:rsidRDefault="00E93FC5" w:rsidP="00AE499E">
            <w:pPr>
              <w:pStyle w:val="NormalWeb"/>
              <w:spacing w:line="270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a) Cuando el reconocimiento se haya obtenido con violación al debido proceso, y</w:t>
            </w:r>
          </w:p>
          <w:p w14:paraId="2F3CD17C" w14:textId="77777777" w:rsidR="00E93FC5" w:rsidRPr="002605F6" w:rsidRDefault="00E93FC5" w:rsidP="00AE499E">
            <w:pPr>
              <w:pStyle w:val="NormalWeb"/>
              <w:spacing w:line="270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b) Cuando la cuantía del derecho reconocido excediere lo debido de acuerdo con la ley, pacto o convención colectiva que le eran legalmente aplicables.</w:t>
            </w:r>
          </w:p>
        </w:tc>
        <w:tc>
          <w:tcPr>
            <w:tcW w:w="269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1419C" w14:textId="26EB902D" w:rsidR="002605F6" w:rsidRPr="002605F6" w:rsidRDefault="002605F6" w:rsidP="00AE49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Times New Roman" w:hAnsiTheme="minorHAnsi" w:cstheme="minorHAnsi"/>
                <w:color w:val="000000" w:themeColor="text1"/>
                <w:bdr w:val="none" w:sz="0" w:space="0" w:color="auto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 xml:space="preserve">Se </w:t>
            </w:r>
            <w:r w:rsidRPr="002605F6">
              <w:rPr>
                <w:rFonts w:asciiTheme="minorHAnsi" w:hAnsiTheme="minorHAnsi" w:cstheme="minorHAnsi"/>
                <w:color w:val="000000" w:themeColor="text1"/>
                <w:lang w:val="es-CO"/>
              </w:rPr>
              <w:t>invalidará la sentencia revisada y dictará la que en derecho corresponde.</w:t>
            </w:r>
          </w:p>
          <w:p w14:paraId="4B3D4748" w14:textId="77777777" w:rsidR="00E93FC5" w:rsidRPr="002605F6" w:rsidRDefault="00E93FC5" w:rsidP="00AE499E">
            <w:pPr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</w:p>
        </w:tc>
      </w:tr>
      <w:tr w:rsidR="00E93FC5" w:rsidRPr="00D06E92" w14:paraId="48493BC8" w14:textId="77777777" w:rsidTr="00E321DA">
        <w:tblPrEx>
          <w:shd w:val="clear" w:color="auto" w:fill="CDD4E9"/>
        </w:tblPrEx>
        <w:trPr>
          <w:trHeight w:val="12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892C" w14:textId="77777777" w:rsidR="00E93FC5" w:rsidRPr="00776780" w:rsidRDefault="00E93FC5" w:rsidP="00E321DA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 xml:space="preserve">SENTENCIA POR LAS CAUSALES: del numeral 5 del artículo 250 del CPACA o del literal a) del artículo 20 de la Ley 797 de 2003. 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3747" w14:textId="766CD236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2605F6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Artículo 250 del CPACA:</w:t>
            </w:r>
          </w:p>
          <w:p w14:paraId="547D4D8C" w14:textId="77777777" w:rsidR="00E93FC5" w:rsidRPr="002605F6" w:rsidRDefault="00E93FC5" w:rsidP="00AE499E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5. Existir nulidad originada en la sentencia que puso fin al proceso y contra la que no procede recurso de apelación. </w:t>
            </w:r>
          </w:p>
          <w:p w14:paraId="6614DAE2" w14:textId="77777777" w:rsidR="00E93FC5" w:rsidRPr="002605F6" w:rsidRDefault="00E93FC5" w:rsidP="00AE499E">
            <w:pPr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</w:p>
          <w:p w14:paraId="491E06F0" w14:textId="77777777" w:rsidR="00E93FC5" w:rsidRPr="002605F6" w:rsidRDefault="00E93FC5" w:rsidP="00AE499E">
            <w:pPr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2EE8" w14:textId="3586F6B7" w:rsidR="002605F6" w:rsidRPr="002605F6" w:rsidRDefault="002605F6" w:rsidP="00AE49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Times New Roman" w:hAnsiTheme="minorHAnsi" w:cstheme="minorHAnsi"/>
                <w:color w:val="000000" w:themeColor="text1"/>
                <w:bdr w:val="none" w:sz="0" w:space="0" w:color="auto"/>
                <w:lang w:val="es-CO"/>
              </w:rPr>
            </w:pPr>
            <w:r w:rsidRPr="002605F6">
              <w:rPr>
                <w:rStyle w:val="apple-converted-space"/>
                <w:rFonts w:asciiTheme="minorHAnsi" w:hAnsiTheme="minorHAnsi" w:cstheme="minorHAnsi"/>
                <w:color w:val="000000" w:themeColor="text1"/>
                <w:lang w:val="es-CO"/>
              </w:rPr>
              <w:t xml:space="preserve">Se </w:t>
            </w:r>
            <w:r w:rsidRPr="002605F6">
              <w:rPr>
                <w:rFonts w:asciiTheme="minorHAnsi" w:hAnsiTheme="minorHAnsi" w:cstheme="minorHAnsi"/>
                <w:color w:val="000000" w:themeColor="text1"/>
                <w:lang w:val="es-CO"/>
              </w:rPr>
              <w:t>declarará la nulidad de la sentencia o de la actuación afectada con la causal que dio lugar a la revisión, y devolverá el proceso a la autoridad judicial de origen para que rehaga lo actuado o dicte sentencia de nuevo, según corresponda.</w:t>
            </w:r>
          </w:p>
          <w:p w14:paraId="1FFD022D" w14:textId="77777777" w:rsidR="00E93FC5" w:rsidRPr="002605F6" w:rsidRDefault="00E93FC5" w:rsidP="00AE499E">
            <w:pPr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</w:p>
        </w:tc>
      </w:tr>
      <w:tr w:rsidR="00E93FC5" w:rsidRPr="00D06E92" w14:paraId="44662C8E" w14:textId="77777777" w:rsidTr="00E321DA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753C7" w14:textId="77777777" w:rsidR="00E93FC5" w:rsidRPr="00776780" w:rsidRDefault="00E93FC5" w:rsidP="00E321DA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>EFECTOS de declarar infundado 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D741" w14:textId="77777777" w:rsidR="00E93FC5" w:rsidRPr="002605F6" w:rsidRDefault="00E93FC5" w:rsidP="00AE499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A9E9" w14:textId="3298B863" w:rsidR="00E93FC5" w:rsidRPr="002605F6" w:rsidRDefault="002605F6" w:rsidP="00AE499E">
            <w:pPr>
              <w:pStyle w:val="NormalWeb"/>
              <w:spacing w:line="270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</w:rPr>
              <w:t>Se condenará en costas y perjuicios al recurrente.</w:t>
            </w:r>
            <w:r w:rsidRPr="002605F6">
              <w:rPr>
                <w:rStyle w:val="apple-converted-space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E93FC5" w:rsidRPr="00D06E92" w14:paraId="2FAF8F23" w14:textId="77777777" w:rsidTr="00E321DA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8266B" w14:textId="77777777" w:rsidR="00E93FC5" w:rsidRPr="00776780" w:rsidRDefault="00E93FC5" w:rsidP="00E321DA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>CONSECUENCIAS de la prosperidad del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A0BF" w14:textId="74C2B473" w:rsidR="00E93FC5" w:rsidRPr="002605F6" w:rsidRDefault="002605F6" w:rsidP="00AE499E">
            <w:pPr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CO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C357" w14:textId="274B8CDD" w:rsidR="00E93FC5" w:rsidRPr="002605F6" w:rsidRDefault="002605F6" w:rsidP="00AE49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Times New Roman" w:hAnsiTheme="minorHAnsi" w:cstheme="minorHAnsi"/>
                <w:color w:val="000000" w:themeColor="text1"/>
                <w:bdr w:val="none" w:sz="0" w:space="0" w:color="auto"/>
                <w:lang w:val="es-CO"/>
              </w:rPr>
            </w:pPr>
            <w:r w:rsidRPr="002605F6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Se resolverá sobre las restituciones, cancelaciones, perjuicios, frutos, mejoras, </w:t>
            </w:r>
            <w:r w:rsidRPr="002605F6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deterioros y demás consecuencias de dicha invalidación. Si en el expediente no existiere prueba para imponer la condena en concreto, esta se hará en abstracto y se dará cumplimiento a lo dispuesto en el artículo</w:t>
            </w:r>
            <w:r w:rsidRPr="002605F6">
              <w:rPr>
                <w:rStyle w:val="apple-converted-space"/>
                <w:rFonts w:asciiTheme="minorHAnsi" w:hAnsiTheme="minorHAnsi" w:cstheme="minorHAnsi"/>
                <w:color w:val="000000" w:themeColor="text1"/>
                <w:lang w:val="es-CO"/>
              </w:rPr>
              <w:t> </w:t>
            </w:r>
            <w:hyperlink r:id="rId8" w:anchor="193" w:history="1">
              <w:r w:rsidRPr="002605F6">
                <w:rPr>
                  <w:rStyle w:val="Hipervnculo"/>
                  <w:rFonts w:asciiTheme="minorHAnsi" w:hAnsiTheme="minorHAnsi" w:cstheme="minorHAnsi"/>
                  <w:color w:val="000000" w:themeColor="text1"/>
                  <w:lang w:val="es-CO"/>
                </w:rPr>
                <w:t>193</w:t>
              </w:r>
            </w:hyperlink>
            <w:r w:rsidRPr="002605F6">
              <w:rPr>
                <w:rStyle w:val="apple-converted-space"/>
                <w:rFonts w:asciiTheme="minorHAnsi" w:hAnsiTheme="minorHAnsi" w:cstheme="minorHAnsi"/>
                <w:color w:val="000000" w:themeColor="text1"/>
                <w:lang w:val="es-CO"/>
              </w:rPr>
              <w:t> </w:t>
            </w:r>
            <w:r w:rsidRPr="002605F6">
              <w:rPr>
                <w:rFonts w:asciiTheme="minorHAnsi" w:hAnsiTheme="minorHAnsi" w:cstheme="minorHAnsi"/>
                <w:color w:val="000000" w:themeColor="text1"/>
                <w:lang w:val="es-CO"/>
              </w:rPr>
              <w:t>de este código.</w:t>
            </w:r>
          </w:p>
        </w:tc>
      </w:tr>
    </w:tbl>
    <w:p w14:paraId="73E20381" w14:textId="40AD51EA" w:rsidR="00E93FC5" w:rsidRPr="002605F6" w:rsidRDefault="00E93FC5">
      <w:pPr>
        <w:rPr>
          <w:lang w:val="es-CO"/>
        </w:rPr>
      </w:pPr>
    </w:p>
    <w:p w14:paraId="467D571F" w14:textId="77777777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CBE89E" w14:textId="1D5353A3" w:rsidR="00E93FC5" w:rsidRDefault="00E93FC5" w:rsidP="00475518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2. MECANISMO DE UNIFICACIÓN DE JURISPRUDENCIA (preventivo)</w:t>
      </w:r>
      <w:r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42C6722" w14:textId="74A7D155" w:rsidR="00E93FC5" w:rsidRPr="00D06E92" w:rsidRDefault="00E93FC5">
      <w:pPr>
        <w:rPr>
          <w:lang w:val="es-CO"/>
        </w:rPr>
      </w:pPr>
    </w:p>
    <w:p w14:paraId="6516A535" w14:textId="30CCE1DC" w:rsidR="00E93FC5" w:rsidRPr="00D06E92" w:rsidRDefault="00E93FC5">
      <w:pPr>
        <w:rPr>
          <w:lang w:val="es-CO"/>
        </w:rPr>
      </w:pPr>
    </w:p>
    <w:tbl>
      <w:tblPr>
        <w:tblStyle w:val="TableNormal"/>
        <w:tblW w:w="85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613"/>
        <w:gridCol w:w="2835"/>
      </w:tblGrid>
      <w:tr w:rsidR="00E93FC5" w14:paraId="76311EF7" w14:textId="77777777" w:rsidTr="0018547F">
        <w:trPr>
          <w:trHeight w:val="489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94E4" w14:textId="77777777" w:rsidR="00E93FC5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92A5" w14:textId="77777777" w:rsidR="00E93FC5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 (texto original)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9709" w14:textId="77777777" w:rsidR="00E93FC5" w:rsidRDefault="00E93FC5" w:rsidP="00E321D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E93FC5" w:rsidRPr="00D06E92" w14:paraId="6A7DE319" w14:textId="77777777" w:rsidTr="0018547F">
        <w:tblPrEx>
          <w:shd w:val="clear" w:color="auto" w:fill="CDD4E9"/>
        </w:tblPrEx>
        <w:trPr>
          <w:trHeight w:val="2535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DCBF" w14:textId="77777777" w:rsidR="00E93FC5" w:rsidRPr="0018547F" w:rsidRDefault="00E93FC5" w:rsidP="00E321D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  <w:lang w:val="es-CO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PROVIDENCIAS SOBRE LAS QUE RECAE EL MECANISMO</w:t>
            </w:r>
          </w:p>
        </w:tc>
        <w:tc>
          <w:tcPr>
            <w:tcW w:w="261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5E55" w14:textId="77777777" w:rsidR="00E93FC5" w:rsidRPr="0018547F" w:rsidRDefault="00E93FC5" w:rsidP="00E321DA">
            <w:pPr>
              <w:tabs>
                <w:tab w:val="left" w:pos="708"/>
                <w:tab w:val="left" w:pos="1416"/>
                <w:tab w:val="left" w:pos="2124"/>
              </w:tabs>
              <w:spacing w:line="254" w:lineRule="atLeast"/>
              <w:jc w:val="both"/>
              <w:rPr>
                <w:rStyle w:val="Ninguno"/>
                <w:rFonts w:ascii="Helvetica Neue" w:eastAsia="Helvetica Neue" w:hAnsi="Helvetica Neue" w:cs="Helvetica Neue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Son susceptibles de este mecanismo: </w:t>
            </w:r>
          </w:p>
          <w:p w14:paraId="4F51BFA4" w14:textId="77777777" w:rsidR="00E93FC5" w:rsidRPr="0018547F" w:rsidRDefault="00E93FC5" w:rsidP="00E321DA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Helvetica Neue" w:hAnsi="Helvetica Neue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asuntos pendientes de fallo en el Consejo de Estado. </w:t>
            </w:r>
          </w:p>
          <w:p w14:paraId="0E31CB7A" w14:textId="77777777" w:rsidR="00E93FC5" w:rsidRPr="0018547F" w:rsidRDefault="00E93FC5" w:rsidP="00E321DA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Helvetica Neue" w:hAnsi="Helvetica Neue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Los asuntos remitidos por las secciones o subsecciones de los tribunales, en única o segunda instancia.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838B" w14:textId="77777777" w:rsidR="00E40D60" w:rsidRPr="0018547F" w:rsidRDefault="00E40D60" w:rsidP="00E40D60">
            <w:pPr>
              <w:tabs>
                <w:tab w:val="left" w:pos="708"/>
                <w:tab w:val="left" w:pos="1416"/>
                <w:tab w:val="left" w:pos="2124"/>
              </w:tabs>
              <w:spacing w:line="254" w:lineRule="atLeast"/>
              <w:jc w:val="both"/>
              <w:rPr>
                <w:rStyle w:val="Ninguno"/>
                <w:rFonts w:ascii="Helvetica Neue" w:eastAsia="Helvetica Neue" w:hAnsi="Helvetica Neue" w:cs="Helvetica Neue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Son susceptibles de este mecanismo: </w:t>
            </w:r>
          </w:p>
          <w:p w14:paraId="4E45BB1C" w14:textId="2CAE898E" w:rsidR="00E40D60" w:rsidRPr="0018547F" w:rsidRDefault="00E40D60" w:rsidP="00E40D60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Helvetica Neue" w:hAnsi="Helvetica Neue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asuntos pendientes de fallo </w:t>
            </w:r>
            <w:r w:rsidR="00EF4A20"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de decisión interlocutoria </w:t>
            </w: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en el Consejo de Estado. </w:t>
            </w:r>
          </w:p>
          <w:p w14:paraId="2757B315" w14:textId="07CC5B3A" w:rsidR="00E93FC5" w:rsidRPr="0018547F" w:rsidRDefault="00E40D60" w:rsidP="00E40D60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Helvetica Neue" w:hAnsi="Helvetica Neue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Los asuntos remitidos por los tribunales, en única o segunda instancia.</w:t>
            </w:r>
          </w:p>
        </w:tc>
      </w:tr>
      <w:tr w:rsidR="00E93FC5" w:rsidRPr="00D06E92" w14:paraId="0FFFC0EB" w14:textId="77777777" w:rsidTr="0018547F">
        <w:tblPrEx>
          <w:shd w:val="clear" w:color="auto" w:fill="CDD4E9"/>
        </w:tblPrEx>
        <w:trPr>
          <w:trHeight w:val="216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384E" w14:textId="77777777" w:rsidR="00E93FC5" w:rsidRPr="0018547F" w:rsidRDefault="00E93FC5" w:rsidP="00E321D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LEGITIMACIÓN POR ACTIVA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FCB3" w14:textId="77777777" w:rsidR="00E93FC5" w:rsidRPr="0018547F" w:rsidRDefault="00E93FC5" w:rsidP="00E321DA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Consejo de Estado de oficio.</w:t>
            </w:r>
          </w:p>
          <w:p w14:paraId="3FE53C50" w14:textId="77777777" w:rsidR="00E93FC5" w:rsidRPr="0018547F" w:rsidRDefault="00E93FC5" w:rsidP="00E321DA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solicitud de parte.</w:t>
            </w:r>
          </w:p>
          <w:p w14:paraId="5847A85F" w14:textId="77777777" w:rsidR="00E93FC5" w:rsidRPr="0018547F" w:rsidRDefault="00E93FC5" w:rsidP="00E321DA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Tribunales por remisión de los asuntos que conocen en única o segunda instancia. </w:t>
            </w:r>
          </w:p>
          <w:p w14:paraId="50132026" w14:textId="77777777" w:rsidR="00E93FC5" w:rsidRPr="0018547F" w:rsidRDefault="00E93FC5" w:rsidP="00E321DA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petición del Ministerio Público.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4CB5" w14:textId="77777777" w:rsidR="00E40D60" w:rsidRPr="0018547F" w:rsidRDefault="00E40D60" w:rsidP="00E40D60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Consejo de Estado de oficio.</w:t>
            </w:r>
          </w:p>
          <w:p w14:paraId="78B1A64C" w14:textId="77777777" w:rsidR="00E40D60" w:rsidRPr="0018547F" w:rsidRDefault="00E40D60" w:rsidP="00E40D60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solicitud de parte.</w:t>
            </w:r>
          </w:p>
          <w:p w14:paraId="6E87F54C" w14:textId="77777777" w:rsidR="00E40D60" w:rsidRPr="0018547F" w:rsidRDefault="00E40D60" w:rsidP="00E40D60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Tribunales por remisión de los asuntos que conocen en única o segunda instancia. </w:t>
            </w:r>
          </w:p>
          <w:p w14:paraId="560823E1" w14:textId="77777777" w:rsidR="00E93FC5" w:rsidRPr="0018547F" w:rsidRDefault="00E40D60" w:rsidP="00E40D60">
            <w:pPr>
              <w:numPr>
                <w:ilvl w:val="0"/>
                <w:numId w:val="2"/>
              </w:numP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petición del Ministerio Público.</w:t>
            </w:r>
          </w:p>
          <w:p w14:paraId="08C53144" w14:textId="3E0A7194" w:rsidR="00E40D60" w:rsidRPr="0018547F" w:rsidRDefault="00E40D60" w:rsidP="00E40D60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/>
              </w:rPr>
              <w:t xml:space="preserve">A petición de la Agencia Nacional de Defensa </w:t>
            </w:r>
            <w:proofErr w:type="spellStart"/>
            <w:r w:rsidRPr="0018547F">
              <w:rPr>
                <w:rStyle w:val="Ninguno"/>
                <w:rFonts w:ascii="Helvetica Neue" w:hAnsi="Helvetica Neue"/>
              </w:rPr>
              <w:t>Juridica</w:t>
            </w:r>
            <w:proofErr w:type="spellEnd"/>
            <w:r w:rsidRPr="0018547F">
              <w:rPr>
                <w:rStyle w:val="Ninguno"/>
                <w:rFonts w:ascii="Helvetica Neue" w:hAnsi="Helvetica Neue"/>
              </w:rPr>
              <w:t xml:space="preserve"> del Estado</w:t>
            </w:r>
          </w:p>
        </w:tc>
      </w:tr>
      <w:tr w:rsidR="00E93FC5" w:rsidRPr="00D06E92" w14:paraId="7257A6F1" w14:textId="77777777" w:rsidTr="0018547F">
        <w:tblPrEx>
          <w:shd w:val="clear" w:color="auto" w:fill="CDD4E9"/>
        </w:tblPrEx>
        <w:trPr>
          <w:trHeight w:val="288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A839" w14:textId="77777777" w:rsidR="00E93FC5" w:rsidRPr="0018547F" w:rsidRDefault="00E93FC5" w:rsidP="00E321D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COMPETENCIA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A7D08" w14:textId="77777777" w:rsidR="00E93FC5" w:rsidRPr="0018547F" w:rsidRDefault="00E93FC5" w:rsidP="00E321DA">
            <w:pPr>
              <w:numPr>
                <w:ilvl w:val="0"/>
                <w:numId w:val="3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Plena de lo Contencioso Administrativo del Consejo de Estado cuando los asuntos provengan de sus secciones. </w:t>
            </w:r>
          </w:p>
          <w:p w14:paraId="4E1B6C14" w14:textId="77777777" w:rsidR="00E93FC5" w:rsidRPr="0018547F" w:rsidRDefault="00E93FC5" w:rsidP="00E321DA">
            <w:pPr>
              <w:numPr>
                <w:ilvl w:val="0"/>
                <w:numId w:val="4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Las secciones del Consejo de Estado cuando los asuntos provengan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980A" w14:textId="458DB1EB" w:rsidR="00E40D60" w:rsidRPr="0018547F" w:rsidRDefault="00E40D60" w:rsidP="00E40D60">
            <w:pPr>
              <w:numPr>
                <w:ilvl w:val="0"/>
                <w:numId w:val="4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Plena de lo Contencioso Administrativo del Consejo de Estado cuando los asuntos provengan de sus secciones y cuando el asunto a unificar verse sobre aspectos procesales que sean transversales a todas las secciones del Consejo de Estado. </w:t>
            </w:r>
          </w:p>
          <w:p w14:paraId="0D0E22BF" w14:textId="44B29D89" w:rsidR="00E93FC5" w:rsidRPr="0018547F" w:rsidRDefault="00E40D60" w:rsidP="00E40D60">
            <w:pPr>
              <w:numPr>
                <w:ilvl w:val="0"/>
                <w:numId w:val="4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8547F"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Las secciones del Consejo de Estado cuando los asuntos provengan de las subsecciones de la corporación, de los despachos de los magistrados que las integran, o de los tribunales.</w:t>
            </w:r>
          </w:p>
        </w:tc>
      </w:tr>
      <w:tr w:rsidR="0018547F" w:rsidRPr="00D06E92" w14:paraId="65394DDD" w14:textId="77777777" w:rsidTr="0018547F">
        <w:tblPrEx>
          <w:shd w:val="clear" w:color="auto" w:fill="CDD4E9"/>
        </w:tblPrEx>
        <w:trPr>
          <w:trHeight w:val="19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562D" w14:textId="77777777" w:rsidR="0018547F" w:rsidRPr="0018547F" w:rsidRDefault="0018547F" w:rsidP="0018547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OPORTUNIDAD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C21C" w14:textId="77777777" w:rsidR="0018547F" w:rsidRPr="0018547F" w:rsidRDefault="0018547F" w:rsidP="0018547F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  <w:rPr>
                <w:sz w:val="20"/>
                <w:szCs w:val="20"/>
              </w:rPr>
            </w:pPr>
            <w:r w:rsidRPr="0018547F">
              <w:rPr>
                <w:rStyle w:val="Ninguno"/>
                <w:sz w:val="20"/>
                <w:szCs w:val="20"/>
                <w:u w:color="000000"/>
              </w:rPr>
              <w:t xml:space="preserve">El Consejo de Estado podrá asumir conocimiento mientras el asunto se encuentre pendiente de fallo ya sea en sus mismas secciones o proveniente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63C4" w14:textId="5184573B" w:rsidR="0018547F" w:rsidRPr="0018547F" w:rsidRDefault="0018547F" w:rsidP="0018547F">
            <w:pPr>
              <w:rPr>
                <w:rFonts w:ascii="Helvetica Neue" w:hAnsi="Helvetica Neue"/>
                <w:lang w:val="es-CO"/>
              </w:rPr>
            </w:pPr>
            <w:r w:rsidRPr="0018547F">
              <w:rPr>
                <w:rStyle w:val="Ninguno"/>
                <w:rFonts w:ascii="Helvetica Neue" w:hAnsi="Helvetica Neue"/>
                <w:u w:color="000000"/>
              </w:rPr>
              <w:t xml:space="preserve">El Consejo de Estado podrá asumir conocimiento mientras el asunto se encuentre pendiente de fallo o de decisión interlocutoria ya sea en sus mismas secciones o proveniente de los tribunales. </w:t>
            </w:r>
          </w:p>
        </w:tc>
      </w:tr>
      <w:tr w:rsidR="0018547F" w:rsidRPr="00D06E92" w14:paraId="2347C98A" w14:textId="77777777" w:rsidTr="0018547F">
        <w:tblPrEx>
          <w:shd w:val="clear" w:color="auto" w:fill="CDD4E9"/>
        </w:tblPrEx>
        <w:trPr>
          <w:trHeight w:val="2460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F432" w14:textId="77777777" w:rsidR="0018547F" w:rsidRPr="0018547F" w:rsidRDefault="0018547F" w:rsidP="0018547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0500" w14:textId="77777777" w:rsidR="0018547F" w:rsidRPr="0018547F" w:rsidRDefault="0018547F" w:rsidP="0018547F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  <w:rPr>
                <w:sz w:val="20"/>
                <w:szCs w:val="20"/>
              </w:rPr>
            </w:pPr>
            <w:r w:rsidRPr="0018547F">
              <w:rPr>
                <w:rStyle w:val="Ninguno"/>
                <w:sz w:val="20"/>
                <w:szCs w:val="20"/>
                <w:u w:color="000000"/>
              </w:rPr>
              <w:t>Se proferirán decisiones de unificación jurisprudencial en los siguientes casos:   por razones de importancia jurídica, trascendencia económica o social o necesidad de sentar jurisprudencia.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7484" w14:textId="68F5C354" w:rsidR="0018547F" w:rsidRPr="0018547F" w:rsidRDefault="0018547F" w:rsidP="0018547F">
            <w:pPr>
              <w:rPr>
                <w:rFonts w:ascii="Helvetica Neue" w:hAnsi="Helvetica Neue"/>
                <w:lang w:val="es-CO"/>
              </w:rPr>
            </w:pPr>
            <w:r w:rsidRPr="0018547F">
              <w:rPr>
                <w:rStyle w:val="Ninguno"/>
                <w:rFonts w:ascii="Helvetica Neue" w:hAnsi="Helvetica Neue"/>
                <w:u w:color="000000"/>
              </w:rPr>
              <w:t>Se proferirán decisiones de unificación jurisprudencial en los siguientes casos:   Por razones de importancia jurídica, trascendencia económica o social o necesidad de sentar o unificar jurisprudencia o precisar su alcance o resolver las divergencias en su interpretación y aplicación que ameriten la expedición de una sentencia o auto de unificación jurisprudencial</w:t>
            </w:r>
          </w:p>
        </w:tc>
      </w:tr>
      <w:tr w:rsidR="0018547F" w:rsidRPr="00D06E92" w14:paraId="40CB86E1" w14:textId="77777777" w:rsidTr="0018547F">
        <w:tblPrEx>
          <w:shd w:val="clear" w:color="auto" w:fill="CDD4E9"/>
        </w:tblPrEx>
        <w:trPr>
          <w:trHeight w:val="51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87F4" w14:textId="77777777" w:rsidR="0018547F" w:rsidRPr="0018547F" w:rsidRDefault="0018547F" w:rsidP="0018547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Helvetica Neue" w:hAnsi="Helvetica Neue"/>
              </w:rPr>
            </w:pPr>
            <w:r w:rsidRPr="0018547F"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MECANISMO ELECTRÓNICO DE IDENTIFICACIÓN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66CC" w14:textId="77777777" w:rsidR="0018547F" w:rsidRPr="0018547F" w:rsidRDefault="0018547F" w:rsidP="0018547F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rPr>
                <w:sz w:val="20"/>
                <w:szCs w:val="20"/>
              </w:rPr>
            </w:pPr>
            <w:r w:rsidRPr="0018547F">
              <w:rPr>
                <w:rStyle w:val="Ninguno"/>
                <w:sz w:val="20"/>
                <w:szCs w:val="20"/>
                <w:u w:color="000000"/>
              </w:rPr>
              <w:t xml:space="preserve">                 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E14E" w14:textId="1CE3BCE6" w:rsidR="0018547F" w:rsidRPr="0018547F" w:rsidRDefault="0018547F" w:rsidP="0018547F">
            <w:pPr>
              <w:pStyle w:val="NormalWeb"/>
              <w:spacing w:line="270" w:lineRule="atLeast"/>
              <w:jc w:val="both"/>
              <w:rPr>
                <w:rFonts w:ascii="Helvetica Neue" w:hAnsi="Helvetica Neue" w:cs="Open Sans"/>
                <w:color w:val="000000" w:themeColor="text1"/>
              </w:rPr>
            </w:pPr>
            <w:r w:rsidRPr="0018547F">
              <w:rPr>
                <w:rFonts w:ascii="Helvetica Neue" w:hAnsi="Helvetica Neue" w:cs="Open Sans"/>
                <w:color w:val="000000" w:themeColor="text1"/>
              </w:rPr>
              <w:t xml:space="preserve">El Consejo de Estado debe implementar un mecanismo electrónico que permita comunicar y alertar a sus integrantes y a la ciudadanía </w:t>
            </w:r>
            <w:r w:rsidRPr="0018547F">
              <w:rPr>
                <w:rFonts w:ascii="Helvetica Neue" w:hAnsi="Helvetica Neue" w:cs="Open Sans"/>
                <w:color w:val="000000" w:themeColor="text1"/>
              </w:rPr>
              <w:lastRenderedPageBreak/>
              <w:t xml:space="preserve">en general respecto de aquellas materias o temas que estén en trámite en la Corporación, y que puedan ser propuestos para ser asumidos de oficio por dicha Corporación. </w:t>
            </w:r>
          </w:p>
          <w:p w14:paraId="48535AB4" w14:textId="50AD5DBD" w:rsidR="0018547F" w:rsidRPr="0018547F" w:rsidRDefault="0018547F" w:rsidP="0018547F">
            <w:pPr>
              <w:pStyle w:val="NormalWeb"/>
              <w:spacing w:line="270" w:lineRule="atLeast"/>
              <w:jc w:val="both"/>
              <w:rPr>
                <w:rFonts w:ascii="Helvetica Neue" w:hAnsi="Helvetica Neue" w:cs="Open Sans"/>
                <w:color w:val="4B4949"/>
              </w:rPr>
            </w:pPr>
            <w:r w:rsidRPr="0018547F">
              <w:rPr>
                <w:rFonts w:ascii="Helvetica Neue" w:hAnsi="Helvetica Neue" w:cs="Open Sans"/>
                <w:color w:val="000000" w:themeColor="text1"/>
              </w:rPr>
              <w:t>Igualmente, el mecanismo debe i) permitir que los juzgados y tribunales del país informen sobre procesos en trámite en los respectivos distritos judiciales, que puedan ser asumidos por el Consejo de Estado, y ii) servir  para advertir las divergencias en la interpretación o aplicación de las sentencias y autos de unificación por parte del Consejo de Estado.</w:t>
            </w:r>
          </w:p>
        </w:tc>
      </w:tr>
    </w:tbl>
    <w:p w14:paraId="5B023742" w14:textId="77777777" w:rsidR="00E93FC5" w:rsidRDefault="00E93FC5" w:rsidP="00E93FC5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324" w:hanging="324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0ED0CA" w14:textId="77777777" w:rsidR="00E93FC5" w:rsidRDefault="00E93FC5" w:rsidP="00E93FC5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216" w:hanging="216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017536" w14:textId="77777777" w:rsidR="00E93FC5" w:rsidRPr="0018547F" w:rsidRDefault="00E93FC5">
      <w:pPr>
        <w:rPr>
          <w:lang w:val="es-CO"/>
        </w:rPr>
      </w:pPr>
    </w:p>
    <w:sectPr w:rsidR="00E93FC5" w:rsidRPr="00185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562A" w14:textId="77777777" w:rsidR="00C10E26" w:rsidRDefault="00C10E26" w:rsidP="00431A7C">
      <w:r>
        <w:separator/>
      </w:r>
    </w:p>
  </w:endnote>
  <w:endnote w:type="continuationSeparator" w:id="0">
    <w:p w14:paraId="67525B57" w14:textId="77777777" w:rsidR="00C10E26" w:rsidRDefault="00C10E26" w:rsidP="0043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DBB8" w14:textId="77777777" w:rsidR="00C10E26" w:rsidRDefault="00C10E26" w:rsidP="00431A7C">
      <w:r>
        <w:separator/>
      </w:r>
    </w:p>
  </w:footnote>
  <w:footnote w:type="continuationSeparator" w:id="0">
    <w:p w14:paraId="20D08BFC" w14:textId="77777777" w:rsidR="00C10E26" w:rsidRDefault="00C10E26" w:rsidP="0043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6E"/>
    <w:multiLevelType w:val="hybridMultilevel"/>
    <w:tmpl w:val="83361546"/>
    <w:lvl w:ilvl="0" w:tplc="858A61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F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A65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2CB6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8FA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6C67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6DFD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D6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CB0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91B9D"/>
    <w:multiLevelType w:val="hybridMultilevel"/>
    <w:tmpl w:val="15AEF1E2"/>
    <w:lvl w:ilvl="0" w:tplc="07440AE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286B2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EB77E">
      <w:start w:val="1"/>
      <w:numFmt w:val="bullet"/>
      <w:lvlText w:val="▪"/>
      <w:lvlJc w:val="left"/>
      <w:pPr>
        <w:tabs>
          <w:tab w:val="left" w:pos="708"/>
          <w:tab w:val="left" w:pos="2124"/>
        </w:tabs>
        <w:ind w:left="1601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856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A4676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CE92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6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CA83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CF32C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AEAD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5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CB2FDB"/>
    <w:multiLevelType w:val="hybridMultilevel"/>
    <w:tmpl w:val="20A01362"/>
    <w:lvl w:ilvl="0" w:tplc="E92CC4E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AE55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A2BB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A3C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C1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CA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560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25CE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283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858A614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18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5A4F8E">
        <w:start w:val="1"/>
        <w:numFmt w:val="bullet"/>
        <w:lvlText w:val="o"/>
        <w:lvlJc w:val="left"/>
        <w:pPr>
          <w:tabs>
            <w:tab w:val="left" w:pos="1416"/>
            <w:tab w:val="left" w:pos="2124"/>
          </w:tabs>
          <w:ind w:left="1016" w:hanging="8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61A65AA">
        <w:start w:val="1"/>
        <w:numFmt w:val="bullet"/>
        <w:lvlText w:val="▪"/>
        <w:lvlJc w:val="left"/>
        <w:pPr>
          <w:tabs>
            <w:tab w:val="left" w:pos="708"/>
            <w:tab w:val="left" w:pos="2124"/>
          </w:tabs>
          <w:ind w:left="1734" w:hanging="7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452CB6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234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E8FAC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3169" w:hanging="7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6A6C67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3887" w:hanging="7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BF6DFD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450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A02D69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5322" w:hanging="7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0DCB03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6040" w:hanging="7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C5"/>
    <w:rsid w:val="000A56E3"/>
    <w:rsid w:val="000A7153"/>
    <w:rsid w:val="000E036C"/>
    <w:rsid w:val="0018547F"/>
    <w:rsid w:val="002605F6"/>
    <w:rsid w:val="0030243A"/>
    <w:rsid w:val="003206B3"/>
    <w:rsid w:val="003C3ACC"/>
    <w:rsid w:val="00431A7C"/>
    <w:rsid w:val="00475518"/>
    <w:rsid w:val="004A21FF"/>
    <w:rsid w:val="0050643D"/>
    <w:rsid w:val="00681084"/>
    <w:rsid w:val="00AE499E"/>
    <w:rsid w:val="00B0550D"/>
    <w:rsid w:val="00C10E26"/>
    <w:rsid w:val="00CF5193"/>
    <w:rsid w:val="00D06E92"/>
    <w:rsid w:val="00D72923"/>
    <w:rsid w:val="00E40D60"/>
    <w:rsid w:val="00E93FC5"/>
    <w:rsid w:val="00EF4A20"/>
    <w:rsid w:val="00F17D9A"/>
    <w:rsid w:val="00F27176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E1F2C"/>
  <w15:chartTrackingRefBased/>
  <w15:docId w15:val="{9028AF6E-D190-7647-B33E-F6CE7FB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E93FC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93FC5"/>
    <w:rPr>
      <w:lang w:val="es-ES_tradnl"/>
    </w:rPr>
  </w:style>
  <w:style w:type="table" w:customStyle="1" w:styleId="TableNormal">
    <w:name w:val="Table Normal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3A">
    <w:name w:val="Estilo de tabla 3 A"/>
    <w:rsid w:val="00E93FC5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la2A">
    <w:name w:val="Estilo de tabla 2 A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E93F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O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31A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A7C"/>
    <w:rPr>
      <w:rFonts w:ascii="Times New Roman" w:eastAsia="Arial Unicode MS" w:hAnsi="Times New Roman" w:cs="Times New Roman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1A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A7C"/>
    <w:rPr>
      <w:rFonts w:ascii="Times New Roman" w:eastAsia="Arial Unicode MS" w:hAnsi="Times New Roman" w:cs="Times New Roman"/>
      <w:bdr w:val="nil"/>
      <w:lang w:val="en-US"/>
    </w:rPr>
  </w:style>
  <w:style w:type="character" w:customStyle="1" w:styleId="apple-converted-space">
    <w:name w:val="apple-converted-space"/>
    <w:basedOn w:val="Fuentedeprrafopredeter"/>
    <w:rsid w:val="002605F6"/>
  </w:style>
  <w:style w:type="character" w:styleId="Hipervnculo">
    <w:name w:val="Hyperlink"/>
    <w:basedOn w:val="Fuentedeprrafopredeter"/>
    <w:uiPriority w:val="99"/>
    <w:semiHidden/>
    <w:unhideWhenUsed/>
    <w:rsid w:val="0026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1437_2011_pr0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437_2011_pr0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Guzman Morales</dc:creator>
  <cp:keywords/>
  <dc:description/>
  <cp:lastModifiedBy>JORGE IVAN CABRERA HERNANDEZ</cp:lastModifiedBy>
  <cp:revision>11</cp:revision>
  <dcterms:created xsi:type="dcterms:W3CDTF">2021-08-31T15:32:00Z</dcterms:created>
  <dcterms:modified xsi:type="dcterms:W3CDTF">2021-09-20T04:18:00Z</dcterms:modified>
</cp:coreProperties>
</file>