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390A" w:rsidRDefault="00CD390A" w:rsidP="00863E39">
      <w:pPr>
        <w:tabs>
          <w:tab w:val="left" w:pos="3828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Bogotá D.C., 3 de septiembre de 2021. </w:t>
      </w:r>
    </w:p>
    <w:p w:rsidR="00CD390A" w:rsidRDefault="00CD390A" w:rsidP="00863E39">
      <w:pPr>
        <w:tabs>
          <w:tab w:val="left" w:pos="3828"/>
        </w:tabs>
        <w:jc w:val="both"/>
        <w:rPr>
          <w:rFonts w:ascii="Century Gothic" w:hAnsi="Century Gothic"/>
        </w:rPr>
      </w:pPr>
    </w:p>
    <w:p w:rsidR="00CD390A" w:rsidRDefault="00CD390A" w:rsidP="00863E39">
      <w:pPr>
        <w:tabs>
          <w:tab w:val="left" w:pos="3828"/>
        </w:tabs>
        <w:jc w:val="both"/>
        <w:rPr>
          <w:rFonts w:ascii="Century Gothic" w:hAnsi="Century Gothic"/>
        </w:rPr>
      </w:pPr>
    </w:p>
    <w:p w:rsidR="00CD390A" w:rsidRDefault="00CD390A" w:rsidP="00863E39">
      <w:pPr>
        <w:tabs>
          <w:tab w:val="left" w:pos="3828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Curso de Formación Ley 2080 de 2021</w:t>
      </w:r>
    </w:p>
    <w:p w:rsidR="00CD390A" w:rsidRDefault="00CD390A" w:rsidP="00863E39">
      <w:pPr>
        <w:tabs>
          <w:tab w:val="left" w:pos="3828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Mesa de Trabajo No. 2 excepciones previas y</w:t>
      </w:r>
    </w:p>
    <w:p w:rsidR="00CD390A" w:rsidRDefault="00CD390A" w:rsidP="00863E39">
      <w:pPr>
        <w:tabs>
          <w:tab w:val="left" w:pos="3828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Sentencia Anticipada. </w:t>
      </w:r>
    </w:p>
    <w:p w:rsidR="00CD390A" w:rsidRDefault="00CD390A" w:rsidP="00863E39">
      <w:pPr>
        <w:tabs>
          <w:tab w:val="left" w:pos="3828"/>
        </w:tabs>
        <w:jc w:val="both"/>
        <w:rPr>
          <w:rFonts w:ascii="Century Gothic" w:hAnsi="Century Gothic"/>
        </w:rPr>
      </w:pPr>
    </w:p>
    <w:p w:rsidR="00CD390A" w:rsidRDefault="00CD390A" w:rsidP="00CD390A">
      <w:pPr>
        <w:tabs>
          <w:tab w:val="left" w:pos="3828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Comentario a Foro</w:t>
      </w:r>
    </w:p>
    <w:p w:rsidR="00CD390A" w:rsidRDefault="00CD390A" w:rsidP="00863E39">
      <w:pPr>
        <w:tabs>
          <w:tab w:val="left" w:pos="3828"/>
        </w:tabs>
        <w:jc w:val="both"/>
        <w:rPr>
          <w:rFonts w:ascii="Century Gothic" w:hAnsi="Century Gothic"/>
        </w:rPr>
      </w:pPr>
    </w:p>
    <w:p w:rsidR="00CD390A" w:rsidRDefault="00CD390A" w:rsidP="00863E39">
      <w:pPr>
        <w:tabs>
          <w:tab w:val="left" w:pos="3828"/>
        </w:tabs>
        <w:jc w:val="both"/>
        <w:rPr>
          <w:rFonts w:ascii="Century Gothic" w:hAnsi="Century Gothic"/>
        </w:rPr>
      </w:pPr>
    </w:p>
    <w:p w:rsidR="003677C7" w:rsidRPr="00CD390A" w:rsidRDefault="004B7FED" w:rsidP="00CD390A">
      <w:pPr>
        <w:tabs>
          <w:tab w:val="left" w:pos="3828"/>
        </w:tabs>
        <w:spacing w:line="276" w:lineRule="auto"/>
        <w:jc w:val="both"/>
        <w:rPr>
          <w:rFonts w:ascii="Century Gothic" w:hAnsi="Century Gothic"/>
        </w:rPr>
      </w:pPr>
      <w:r w:rsidRPr="00CD390A">
        <w:rPr>
          <w:rFonts w:ascii="Century Gothic" w:hAnsi="Century Gothic"/>
        </w:rPr>
        <w:t xml:space="preserve">Considero que el trámite de las excepciones previas y </w:t>
      </w:r>
      <w:r w:rsidR="00487D31" w:rsidRPr="00CD390A">
        <w:rPr>
          <w:rFonts w:ascii="Century Gothic" w:hAnsi="Century Gothic"/>
        </w:rPr>
        <w:t xml:space="preserve">la figura </w:t>
      </w:r>
      <w:r w:rsidRPr="00CD390A">
        <w:rPr>
          <w:rFonts w:ascii="Century Gothic" w:hAnsi="Century Gothic"/>
        </w:rPr>
        <w:t xml:space="preserve">de la sentencia anticipada </w:t>
      </w:r>
      <w:r w:rsidR="00487D31" w:rsidRPr="00CD390A">
        <w:rPr>
          <w:rFonts w:ascii="Century Gothic" w:hAnsi="Century Gothic"/>
        </w:rPr>
        <w:t>que introduce</w:t>
      </w:r>
      <w:r w:rsidRPr="00CD390A">
        <w:rPr>
          <w:rFonts w:ascii="Century Gothic" w:hAnsi="Century Gothic"/>
        </w:rPr>
        <w:t xml:space="preserve"> la Ley 2080 de 2021, </w:t>
      </w:r>
      <w:r w:rsidR="00487D31" w:rsidRPr="00CD390A">
        <w:rPr>
          <w:rFonts w:ascii="Century Gothic" w:hAnsi="Century Gothic"/>
        </w:rPr>
        <w:t>son</w:t>
      </w:r>
      <w:r w:rsidRPr="00CD390A">
        <w:rPr>
          <w:rFonts w:ascii="Century Gothic" w:hAnsi="Century Gothic"/>
        </w:rPr>
        <w:t xml:space="preserve"> bastante conveniente</w:t>
      </w:r>
      <w:r w:rsidR="003F5B39" w:rsidRPr="00CD390A">
        <w:rPr>
          <w:rFonts w:ascii="Century Gothic" w:hAnsi="Century Gothic"/>
        </w:rPr>
        <w:t>s</w:t>
      </w:r>
      <w:r w:rsidRPr="00CD390A">
        <w:rPr>
          <w:rFonts w:ascii="Century Gothic" w:hAnsi="Century Gothic"/>
        </w:rPr>
        <w:t xml:space="preserve"> para el proceso contencioso administrativo</w:t>
      </w:r>
      <w:r w:rsidR="00BB3890" w:rsidRPr="00CD390A">
        <w:rPr>
          <w:rFonts w:ascii="Century Gothic" w:hAnsi="Century Gothic"/>
        </w:rPr>
        <w:t xml:space="preserve">. </w:t>
      </w:r>
      <w:r w:rsidR="00EA6EA2" w:rsidRPr="00CD390A">
        <w:rPr>
          <w:rFonts w:ascii="Century Gothic" w:hAnsi="Century Gothic"/>
        </w:rPr>
        <w:t>A</w:t>
      </w:r>
      <w:r w:rsidR="003677C7" w:rsidRPr="00CD390A">
        <w:rPr>
          <w:rFonts w:ascii="Century Gothic" w:hAnsi="Century Gothic"/>
        </w:rPr>
        <w:t>l ser las</w:t>
      </w:r>
      <w:r w:rsidR="00487D31" w:rsidRPr="00CD390A">
        <w:rPr>
          <w:rFonts w:ascii="Century Gothic" w:hAnsi="Century Gothic"/>
        </w:rPr>
        <w:t xml:space="preserve"> excepciones previas </w:t>
      </w:r>
      <w:r w:rsidR="003677C7" w:rsidRPr="00CD390A">
        <w:rPr>
          <w:rFonts w:ascii="Century Gothic" w:hAnsi="Century Gothic"/>
        </w:rPr>
        <w:t>defectos</w:t>
      </w:r>
      <w:r w:rsidR="00487D31" w:rsidRPr="00CD390A">
        <w:rPr>
          <w:rFonts w:ascii="Century Gothic" w:hAnsi="Century Gothic"/>
        </w:rPr>
        <w:t xml:space="preserve"> formales que impiden que el proceso este debidamente conformado,</w:t>
      </w:r>
      <w:r w:rsidR="003677C7" w:rsidRPr="00CD390A">
        <w:rPr>
          <w:rFonts w:ascii="Century Gothic" w:hAnsi="Century Gothic"/>
        </w:rPr>
        <w:t xml:space="preserve"> </w:t>
      </w:r>
      <w:r w:rsidR="00CA230E" w:rsidRPr="00CD390A">
        <w:rPr>
          <w:rFonts w:ascii="Century Gothic" w:hAnsi="Century Gothic"/>
        </w:rPr>
        <w:t xml:space="preserve">la posibilidad de que las partes subsanen estos yerros y la posibilidad de que el juez decida sobre estos aspectos con anterioridad a la etapa de juicio, comportan un cambio positivo en la estructura del proceso </w:t>
      </w:r>
      <w:r w:rsidR="00EA6EA2" w:rsidRPr="00CD390A">
        <w:rPr>
          <w:rFonts w:ascii="Century Gothic" w:hAnsi="Century Gothic"/>
        </w:rPr>
        <w:t xml:space="preserve">que </w:t>
      </w:r>
      <w:r w:rsidR="00863E39" w:rsidRPr="00CD390A">
        <w:rPr>
          <w:rFonts w:ascii="Century Gothic" w:hAnsi="Century Gothic"/>
        </w:rPr>
        <w:t xml:space="preserve">introduce </w:t>
      </w:r>
      <w:r w:rsidR="00EA6EA2" w:rsidRPr="00CD390A">
        <w:rPr>
          <w:rFonts w:ascii="Century Gothic" w:hAnsi="Century Gothic"/>
        </w:rPr>
        <w:t xml:space="preserve">un orden </w:t>
      </w:r>
      <w:r w:rsidR="00863E39" w:rsidRPr="00CD390A">
        <w:rPr>
          <w:rFonts w:ascii="Century Gothic" w:hAnsi="Century Gothic"/>
        </w:rPr>
        <w:t xml:space="preserve">más </w:t>
      </w:r>
      <w:r w:rsidR="00CA230E" w:rsidRPr="00CD390A">
        <w:rPr>
          <w:rFonts w:ascii="Century Gothic" w:hAnsi="Century Gothic"/>
        </w:rPr>
        <w:t>lógic</w:t>
      </w:r>
      <w:r w:rsidR="00EA6EA2" w:rsidRPr="00CD390A">
        <w:rPr>
          <w:rFonts w:ascii="Century Gothic" w:hAnsi="Century Gothic"/>
        </w:rPr>
        <w:t>o</w:t>
      </w:r>
      <w:r w:rsidR="00CA230E" w:rsidRPr="00CD390A">
        <w:rPr>
          <w:rFonts w:ascii="Century Gothic" w:hAnsi="Century Gothic"/>
        </w:rPr>
        <w:t xml:space="preserve"> y organizad</w:t>
      </w:r>
      <w:r w:rsidR="00EA6EA2" w:rsidRPr="00CD390A">
        <w:rPr>
          <w:rFonts w:ascii="Century Gothic" w:hAnsi="Century Gothic"/>
        </w:rPr>
        <w:t xml:space="preserve">o </w:t>
      </w:r>
      <w:r w:rsidR="00CA230E" w:rsidRPr="00CD390A">
        <w:rPr>
          <w:rFonts w:ascii="Century Gothic" w:hAnsi="Century Gothic"/>
        </w:rPr>
        <w:t>del</w:t>
      </w:r>
      <w:r w:rsidR="00863E39" w:rsidRPr="00CD390A">
        <w:rPr>
          <w:rFonts w:ascii="Century Gothic" w:hAnsi="Century Gothic"/>
        </w:rPr>
        <w:t xml:space="preserve"> mismo</w:t>
      </w:r>
      <w:r w:rsidR="00CA230E" w:rsidRPr="00CD390A">
        <w:rPr>
          <w:rFonts w:ascii="Century Gothic" w:hAnsi="Century Gothic"/>
        </w:rPr>
        <w:t xml:space="preserve">. </w:t>
      </w:r>
      <w:r w:rsidR="00487D31" w:rsidRPr="00CD390A">
        <w:rPr>
          <w:rFonts w:ascii="Century Gothic" w:hAnsi="Century Gothic"/>
        </w:rPr>
        <w:t>Por otra parte,</w:t>
      </w:r>
      <w:r w:rsidR="003F5B39" w:rsidRPr="00CD390A">
        <w:rPr>
          <w:rFonts w:ascii="Century Gothic" w:hAnsi="Century Gothic"/>
        </w:rPr>
        <w:t xml:space="preserve"> considero que</w:t>
      </w:r>
      <w:r w:rsidR="00487D31" w:rsidRPr="00CD390A">
        <w:rPr>
          <w:rFonts w:ascii="Century Gothic" w:hAnsi="Century Gothic"/>
        </w:rPr>
        <w:t xml:space="preserve"> la figura de la sentencia anticipada permite desarrollar el proceso contencioso administrativo de maner</w:t>
      </w:r>
      <w:r w:rsidR="00863E39" w:rsidRPr="00CD390A">
        <w:rPr>
          <w:rFonts w:ascii="Century Gothic" w:hAnsi="Century Gothic"/>
        </w:rPr>
        <w:t>a</w:t>
      </w:r>
      <w:r w:rsidR="00487D31" w:rsidRPr="00CD390A">
        <w:rPr>
          <w:rFonts w:ascii="Century Gothic" w:hAnsi="Century Gothic"/>
        </w:rPr>
        <w:t xml:space="preserve"> acorde con las características que le son propias</w:t>
      </w:r>
      <w:r w:rsidR="003F5B39" w:rsidRPr="00CD390A">
        <w:rPr>
          <w:rFonts w:ascii="Century Gothic" w:hAnsi="Century Gothic"/>
        </w:rPr>
        <w:t>,</w:t>
      </w:r>
      <w:r w:rsidR="00CA230E" w:rsidRPr="00CD390A">
        <w:rPr>
          <w:rFonts w:ascii="Century Gothic" w:hAnsi="Century Gothic"/>
        </w:rPr>
        <w:t xml:space="preserve"> </w:t>
      </w:r>
      <w:r w:rsidR="00863E39" w:rsidRPr="00CD390A">
        <w:rPr>
          <w:rFonts w:ascii="Century Gothic" w:hAnsi="Century Gothic"/>
        </w:rPr>
        <w:t>ya que,</w:t>
      </w:r>
      <w:r w:rsidR="00CA230E" w:rsidRPr="00CD390A">
        <w:rPr>
          <w:rFonts w:ascii="Century Gothic" w:hAnsi="Century Gothic"/>
        </w:rPr>
        <w:t xml:space="preserve"> </w:t>
      </w:r>
      <w:r w:rsidR="003F5B39" w:rsidRPr="00CD390A">
        <w:rPr>
          <w:rFonts w:ascii="Century Gothic" w:hAnsi="Century Gothic"/>
        </w:rPr>
        <w:t xml:space="preserve">al tramitarse al interior de </w:t>
      </w:r>
      <w:r w:rsidR="003677C7" w:rsidRPr="00CD390A">
        <w:rPr>
          <w:rFonts w:ascii="Century Gothic" w:hAnsi="Century Gothic"/>
        </w:rPr>
        <w:t>esta</w:t>
      </w:r>
      <w:r w:rsidR="003F5B39" w:rsidRPr="00CD390A">
        <w:rPr>
          <w:rFonts w:ascii="Century Gothic" w:hAnsi="Century Gothic"/>
        </w:rPr>
        <w:t xml:space="preserve"> jurisdicción un gran numero de controversias en las que se discuten asunto de puro derecho</w:t>
      </w:r>
      <w:r w:rsidR="00487D31" w:rsidRPr="00CD390A">
        <w:rPr>
          <w:rFonts w:ascii="Century Gothic" w:hAnsi="Century Gothic"/>
        </w:rPr>
        <w:t xml:space="preserve">, </w:t>
      </w:r>
      <w:r w:rsidR="00863E39" w:rsidRPr="00CD390A">
        <w:rPr>
          <w:rFonts w:ascii="Century Gothic" w:hAnsi="Century Gothic"/>
        </w:rPr>
        <w:t xml:space="preserve">ciertamente </w:t>
      </w:r>
      <w:r w:rsidR="00EA6EA2" w:rsidRPr="00CD390A">
        <w:rPr>
          <w:rFonts w:ascii="Century Gothic" w:hAnsi="Century Gothic"/>
        </w:rPr>
        <w:t xml:space="preserve">resultaba </w:t>
      </w:r>
      <w:r w:rsidR="003677C7" w:rsidRPr="00CD390A">
        <w:rPr>
          <w:rFonts w:ascii="Century Gothic" w:hAnsi="Century Gothic"/>
        </w:rPr>
        <w:t xml:space="preserve">innecesario tener que evacuar las audiencias y </w:t>
      </w:r>
      <w:r w:rsidR="00863E39" w:rsidRPr="00CD390A">
        <w:rPr>
          <w:rFonts w:ascii="Century Gothic" w:hAnsi="Century Gothic"/>
        </w:rPr>
        <w:t xml:space="preserve">diligencias </w:t>
      </w:r>
      <w:r w:rsidR="003677C7" w:rsidRPr="00CD390A">
        <w:rPr>
          <w:rFonts w:ascii="Century Gothic" w:hAnsi="Century Gothic"/>
        </w:rPr>
        <w:t>concebid</w:t>
      </w:r>
      <w:r w:rsidR="00863E39" w:rsidRPr="00CD390A">
        <w:rPr>
          <w:rFonts w:ascii="Century Gothic" w:hAnsi="Century Gothic"/>
        </w:rPr>
        <w:t>as</w:t>
      </w:r>
      <w:r w:rsidR="003677C7" w:rsidRPr="00CD390A">
        <w:rPr>
          <w:rFonts w:ascii="Century Gothic" w:hAnsi="Century Gothic"/>
        </w:rPr>
        <w:t xml:space="preserve"> para aquellas controversias en las que sí</w:t>
      </w:r>
      <w:r w:rsidR="00863E39" w:rsidRPr="00CD390A">
        <w:rPr>
          <w:rFonts w:ascii="Century Gothic" w:hAnsi="Century Gothic"/>
        </w:rPr>
        <w:t xml:space="preserve"> era</w:t>
      </w:r>
      <w:r w:rsidR="003677C7" w:rsidRPr="00CD390A">
        <w:rPr>
          <w:rFonts w:ascii="Century Gothic" w:hAnsi="Century Gothic"/>
        </w:rPr>
        <w:t xml:space="preserve"> indispensable la práctica de pruebas</w:t>
      </w:r>
      <w:r w:rsidR="00EA6EA2" w:rsidRPr="00CD390A">
        <w:rPr>
          <w:rFonts w:ascii="Century Gothic" w:hAnsi="Century Gothic"/>
        </w:rPr>
        <w:t xml:space="preserve">, razón por la cual se aplaude la </w:t>
      </w:r>
      <w:r w:rsidR="00863E39" w:rsidRPr="00CD390A">
        <w:rPr>
          <w:rFonts w:ascii="Century Gothic" w:hAnsi="Century Gothic"/>
        </w:rPr>
        <w:t>iniciativa</w:t>
      </w:r>
      <w:r w:rsidR="00EA6EA2" w:rsidRPr="00CD390A">
        <w:rPr>
          <w:rFonts w:ascii="Century Gothic" w:hAnsi="Century Gothic"/>
        </w:rPr>
        <w:t xml:space="preserve"> de ajustar el trámite del proceso, a la realidad de las controversias suscitadas al interior </w:t>
      </w:r>
      <w:r w:rsidR="00863E39" w:rsidRPr="00CD390A">
        <w:rPr>
          <w:rFonts w:ascii="Century Gothic" w:hAnsi="Century Gothic"/>
        </w:rPr>
        <w:t>de esta</w:t>
      </w:r>
      <w:r w:rsidR="00EA6EA2" w:rsidRPr="00CD390A">
        <w:rPr>
          <w:rFonts w:ascii="Century Gothic" w:hAnsi="Century Gothic"/>
        </w:rPr>
        <w:t xml:space="preserve"> jurisdicción</w:t>
      </w:r>
      <w:r w:rsidR="00863E39" w:rsidRPr="00CD390A">
        <w:rPr>
          <w:rFonts w:ascii="Century Gothic" w:hAnsi="Century Gothic"/>
        </w:rPr>
        <w:t>.</w:t>
      </w:r>
    </w:p>
    <w:p w:rsidR="003677C7" w:rsidRDefault="003677C7" w:rsidP="004B7FED">
      <w:pPr>
        <w:jc w:val="both"/>
      </w:pPr>
    </w:p>
    <w:p w:rsidR="007D0C84" w:rsidRDefault="00BB3890" w:rsidP="004B7FED">
      <w:pPr>
        <w:jc w:val="both"/>
      </w:pPr>
      <w:r>
        <w:t xml:space="preserve"> </w:t>
      </w:r>
    </w:p>
    <w:p w:rsidR="00CD390A" w:rsidRPr="00CD390A" w:rsidRDefault="00CD390A" w:rsidP="004B7FED">
      <w:pPr>
        <w:jc w:val="both"/>
        <w:rPr>
          <w:rFonts w:ascii="Century Gothic" w:hAnsi="Century Gothic"/>
        </w:rPr>
      </w:pPr>
      <w:r w:rsidRPr="00CD390A">
        <w:rPr>
          <w:rFonts w:ascii="Century Gothic" w:hAnsi="Century Gothic"/>
        </w:rPr>
        <w:t xml:space="preserve">Cordialmente, </w:t>
      </w:r>
    </w:p>
    <w:p w:rsidR="00CD390A" w:rsidRPr="00CD390A" w:rsidRDefault="00CD390A" w:rsidP="004B7FED">
      <w:pPr>
        <w:jc w:val="both"/>
        <w:rPr>
          <w:rFonts w:ascii="Century Gothic" w:hAnsi="Century Gothic"/>
        </w:rPr>
      </w:pPr>
    </w:p>
    <w:p w:rsidR="00CD390A" w:rsidRPr="00CD390A" w:rsidRDefault="00CD390A" w:rsidP="004B7FED">
      <w:pPr>
        <w:jc w:val="both"/>
        <w:rPr>
          <w:rFonts w:ascii="Century Gothic" w:hAnsi="Century Gothic"/>
        </w:rPr>
      </w:pPr>
      <w:r w:rsidRPr="00CD390A">
        <w:rPr>
          <w:rFonts w:ascii="Century Gothic" w:hAnsi="Century Gothic"/>
        </w:rPr>
        <w:t xml:space="preserve">Felipe </w:t>
      </w:r>
      <w:proofErr w:type="spellStart"/>
      <w:r w:rsidRPr="00CD390A">
        <w:rPr>
          <w:rFonts w:ascii="Century Gothic" w:hAnsi="Century Gothic"/>
        </w:rPr>
        <w:t>Cabarcas</w:t>
      </w:r>
      <w:proofErr w:type="spellEnd"/>
      <w:r w:rsidRPr="00CD390A">
        <w:rPr>
          <w:rFonts w:ascii="Century Gothic" w:hAnsi="Century Gothic"/>
        </w:rPr>
        <w:t xml:space="preserve"> María</w:t>
      </w:r>
    </w:p>
    <w:p w:rsidR="00CD390A" w:rsidRPr="00CD390A" w:rsidRDefault="00CD390A" w:rsidP="004B7FED">
      <w:pPr>
        <w:jc w:val="both"/>
        <w:rPr>
          <w:rFonts w:ascii="Century Gothic" w:hAnsi="Century Gothic"/>
        </w:rPr>
      </w:pPr>
      <w:r w:rsidRPr="00CD390A">
        <w:rPr>
          <w:rFonts w:ascii="Century Gothic" w:hAnsi="Century Gothic"/>
        </w:rPr>
        <w:t>Consejo de Estado, Sección Tercera, Subsección B</w:t>
      </w:r>
    </w:p>
    <w:p w:rsidR="00CD390A" w:rsidRPr="00CD390A" w:rsidRDefault="00CD390A" w:rsidP="004B7FED">
      <w:pPr>
        <w:jc w:val="both"/>
        <w:rPr>
          <w:rFonts w:ascii="Century Gothic" w:hAnsi="Century Gothic"/>
        </w:rPr>
      </w:pPr>
      <w:r w:rsidRPr="00CD390A">
        <w:rPr>
          <w:rFonts w:ascii="Century Gothic" w:hAnsi="Century Gothic"/>
        </w:rPr>
        <w:t>Escribiente</w:t>
      </w:r>
    </w:p>
    <w:p w:rsidR="00CD390A" w:rsidRPr="00CD390A" w:rsidRDefault="00CD390A" w:rsidP="004B7FED">
      <w:pPr>
        <w:jc w:val="both"/>
        <w:rPr>
          <w:rFonts w:ascii="Century Gothic" w:hAnsi="Century Gothic"/>
        </w:rPr>
      </w:pPr>
    </w:p>
    <w:p w:rsidR="00CD390A" w:rsidRDefault="00CD390A" w:rsidP="004B7FED">
      <w:pPr>
        <w:jc w:val="both"/>
      </w:pPr>
    </w:p>
    <w:sectPr w:rsidR="00CD390A" w:rsidSect="007514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ED"/>
    <w:rsid w:val="003677C7"/>
    <w:rsid w:val="003F5B39"/>
    <w:rsid w:val="00487D31"/>
    <w:rsid w:val="004B7FED"/>
    <w:rsid w:val="007514FF"/>
    <w:rsid w:val="007D0C84"/>
    <w:rsid w:val="00863E39"/>
    <w:rsid w:val="00BB3890"/>
    <w:rsid w:val="00CA230E"/>
    <w:rsid w:val="00CD390A"/>
    <w:rsid w:val="00E53F0A"/>
    <w:rsid w:val="00EA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445D49"/>
  <w15:chartTrackingRefBased/>
  <w15:docId w15:val="{B4BB7CA9-7885-264C-8A49-ED271035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2021-09-04T17:57:00Z</dcterms:created>
  <dcterms:modified xsi:type="dcterms:W3CDTF">2021-09-04T20:01:00Z</dcterms:modified>
</cp:coreProperties>
</file>