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bookmarkStart w:id="0" w:name="_GoBack"/>
      <w:r w:rsidRPr="00513A6A">
        <w:rPr>
          <w:rFonts w:ascii="Arial Narrow" w:eastAsia="Times New Roman" w:hAnsi="Arial Narrow" w:cs="Times New Roman"/>
          <w:b/>
          <w:color w:val="495057"/>
          <w:sz w:val="24"/>
          <w:szCs w:val="24"/>
          <w:lang w:eastAsia="es-CO"/>
        </w:rPr>
        <w:t xml:space="preserve">Los cambios dispuestos por la </w:t>
      </w:r>
      <w:r w:rsidRPr="00096779">
        <w:rPr>
          <w:rFonts w:ascii="Arial Narrow" w:eastAsia="Times New Roman" w:hAnsi="Arial Narrow" w:cs="Times New Roman"/>
          <w:b/>
          <w:color w:val="495057"/>
          <w:sz w:val="24"/>
          <w:szCs w:val="24"/>
          <w:lang w:eastAsia="es-CO"/>
        </w:rPr>
        <w:t>Ley 2080 de 2021</w:t>
      </w:r>
      <w:r w:rsidRPr="00513A6A">
        <w:rPr>
          <w:rFonts w:ascii="Arial Narrow" w:eastAsia="Times New Roman" w:hAnsi="Arial Narrow" w:cs="Times New Roman"/>
          <w:b/>
          <w:color w:val="495057"/>
          <w:sz w:val="24"/>
          <w:szCs w:val="24"/>
          <w:lang w:eastAsia="es-CO"/>
        </w:rPr>
        <w:t xml:space="preserve"> en materia de recursos ordinarios y extraordinarios</w:t>
      </w:r>
      <w:r w:rsidR="0020286F" w:rsidRPr="00513A6A">
        <w:rPr>
          <w:rFonts w:ascii="Arial Narrow" w:eastAsia="Times New Roman" w:hAnsi="Arial Narrow" w:cs="Times New Roman"/>
          <w:b/>
          <w:color w:val="495057"/>
          <w:sz w:val="24"/>
          <w:szCs w:val="24"/>
          <w:lang w:eastAsia="es-CO"/>
        </w:rPr>
        <w:t xml:space="preserve"> de la Ley 1437 de 2011</w:t>
      </w:r>
      <w:r>
        <w:rPr>
          <w:rFonts w:ascii="Arial Narrow" w:eastAsia="Times New Roman" w:hAnsi="Arial Narrow" w:cs="Times New Roman"/>
          <w:color w:val="495057"/>
          <w:sz w:val="24"/>
          <w:szCs w:val="24"/>
          <w:lang w:eastAsia="es-CO"/>
        </w:rPr>
        <w:t>.</w:t>
      </w: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r>
        <w:rPr>
          <w:rFonts w:ascii="Arial Narrow" w:eastAsia="Times New Roman" w:hAnsi="Arial Narrow" w:cs="Times New Roman"/>
          <w:color w:val="495057"/>
          <w:sz w:val="24"/>
          <w:szCs w:val="24"/>
          <w:lang w:eastAsia="es-CO"/>
        </w:rPr>
        <w:t>Comparto la fórmula de exposición utilizada por la doctora ALBA LUCÍA BECERRA</w:t>
      </w:r>
      <w:r w:rsidR="00513A6A">
        <w:rPr>
          <w:rFonts w:ascii="Arial Narrow" w:eastAsia="Times New Roman" w:hAnsi="Arial Narrow" w:cs="Times New Roman"/>
          <w:color w:val="495057"/>
          <w:sz w:val="24"/>
          <w:szCs w:val="24"/>
          <w:lang w:eastAsia="es-CO"/>
        </w:rPr>
        <w:t>, y considero importante agregar, respecto a los recursos ordinarios, lo siguiente:</w:t>
      </w:r>
      <w:r>
        <w:rPr>
          <w:rFonts w:ascii="Arial Narrow" w:eastAsia="Times New Roman" w:hAnsi="Arial Narrow" w:cs="Times New Roman"/>
          <w:color w:val="495057"/>
          <w:sz w:val="24"/>
          <w:szCs w:val="24"/>
          <w:lang w:eastAsia="es-CO"/>
        </w:rPr>
        <w:t xml:space="preserve"> </w:t>
      </w: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p>
    <w:p w:rsidR="00096779" w:rsidRPr="00096779" w:rsidRDefault="00096779" w:rsidP="00096779">
      <w:pPr>
        <w:shd w:val="clear" w:color="auto" w:fill="FFFFFF"/>
        <w:spacing w:after="0" w:line="240" w:lineRule="auto"/>
        <w:jc w:val="both"/>
        <w:rPr>
          <w:rFonts w:ascii="Arial Narrow" w:eastAsia="Times New Roman" w:hAnsi="Arial Narrow" w:cs="Times New Roman"/>
          <w:b/>
          <w:color w:val="495057"/>
          <w:sz w:val="24"/>
          <w:szCs w:val="24"/>
          <w:lang w:eastAsia="es-CO"/>
        </w:rPr>
      </w:pPr>
      <w:r w:rsidRPr="00096779">
        <w:rPr>
          <w:rFonts w:ascii="Arial Narrow" w:eastAsia="Times New Roman" w:hAnsi="Arial Narrow" w:cs="Times New Roman"/>
          <w:b/>
          <w:color w:val="495057"/>
          <w:sz w:val="24"/>
          <w:szCs w:val="24"/>
          <w:lang w:eastAsia="es-CO"/>
        </w:rPr>
        <w:t xml:space="preserve">Sobre </w:t>
      </w:r>
      <w:r>
        <w:rPr>
          <w:rFonts w:ascii="Arial Narrow" w:eastAsia="Times New Roman" w:hAnsi="Arial Narrow" w:cs="Times New Roman"/>
          <w:b/>
          <w:color w:val="495057"/>
          <w:sz w:val="24"/>
          <w:szCs w:val="24"/>
          <w:lang w:eastAsia="es-CO"/>
        </w:rPr>
        <w:t>el recurso de reposición:</w:t>
      </w: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r>
        <w:rPr>
          <w:rFonts w:ascii="Arial Narrow" w:eastAsia="Times New Roman" w:hAnsi="Arial Narrow" w:cs="Times New Roman"/>
          <w:color w:val="495057"/>
          <w:sz w:val="24"/>
          <w:szCs w:val="24"/>
          <w:lang w:eastAsia="es-CO"/>
        </w:rPr>
        <w:t xml:space="preserve">Ciertamente, el primer y más prudente y sensato de los cambios se realizó frente al </w:t>
      </w:r>
      <w:r w:rsidRPr="00096779">
        <w:rPr>
          <w:rFonts w:ascii="Arial Narrow" w:eastAsia="Times New Roman" w:hAnsi="Arial Narrow" w:cs="Times New Roman"/>
          <w:b/>
          <w:color w:val="495057"/>
          <w:sz w:val="24"/>
          <w:szCs w:val="24"/>
          <w:lang w:eastAsia="es-CO"/>
        </w:rPr>
        <w:t>recurso de reposición</w:t>
      </w:r>
      <w:r>
        <w:rPr>
          <w:rFonts w:ascii="Arial Narrow" w:eastAsia="Times New Roman" w:hAnsi="Arial Narrow" w:cs="Times New Roman"/>
          <w:color w:val="495057"/>
          <w:sz w:val="24"/>
          <w:szCs w:val="24"/>
          <w:lang w:eastAsia="es-CO"/>
        </w:rPr>
        <w:t>, pues pasamos de un criterio de RESIDUALIDAD, que lo hacía procedente sólo cuando no cabía el recurso de apelación, con lo cual se limitaba el poder de corrección del propio funcionario incurso en yerros a veces menores, a una PROCEDENCIA GENERALIZADA Y PRINCIPAL, que permite al funcionario enmendar sus inexactitudes y equivocaciones, sin necesidad de agotar el trámite de alzada con el consiguiente desgaste de los sujetos procesales, y de aparato jurisdiccional, cuando no fuera necesario.</w:t>
      </w:r>
    </w:p>
    <w:p w:rsidR="00096779" w:rsidRDefault="00096779" w:rsidP="00096779">
      <w:pPr>
        <w:shd w:val="clear" w:color="auto" w:fill="FFFFFF"/>
        <w:spacing w:after="0" w:line="240" w:lineRule="auto"/>
        <w:jc w:val="both"/>
        <w:rPr>
          <w:rFonts w:ascii="Arial Narrow" w:eastAsia="Times New Roman" w:hAnsi="Arial Narrow" w:cs="Times New Roman"/>
          <w:color w:val="495057"/>
          <w:sz w:val="24"/>
          <w:szCs w:val="24"/>
          <w:lang w:eastAsia="es-CO"/>
        </w:rPr>
      </w:pPr>
    </w:p>
    <w:p w:rsidR="00096779" w:rsidRDefault="00096779" w:rsidP="00096779">
      <w:pPr>
        <w:shd w:val="clear" w:color="auto" w:fill="FFFFFF"/>
        <w:spacing w:after="0" w:line="240" w:lineRule="auto"/>
        <w:jc w:val="both"/>
        <w:rPr>
          <w:rFonts w:ascii="Arial Narrow" w:eastAsia="Times New Roman" w:hAnsi="Arial Narrow" w:cs="Times New Roman"/>
          <w:b/>
          <w:color w:val="495057"/>
          <w:sz w:val="24"/>
          <w:szCs w:val="24"/>
          <w:lang w:eastAsia="es-CO"/>
        </w:rPr>
      </w:pPr>
      <w:r>
        <w:rPr>
          <w:rFonts w:ascii="Arial Narrow" w:eastAsia="Times New Roman" w:hAnsi="Arial Narrow" w:cs="Times New Roman"/>
          <w:b/>
          <w:color w:val="495057"/>
          <w:sz w:val="24"/>
          <w:szCs w:val="24"/>
          <w:lang w:eastAsia="es-CO"/>
        </w:rPr>
        <w:t xml:space="preserve">Sobre el recurso de apelación: </w:t>
      </w:r>
    </w:p>
    <w:p w:rsidR="00096779" w:rsidRPr="00096779" w:rsidRDefault="00096779" w:rsidP="00096779">
      <w:pPr>
        <w:shd w:val="clear" w:color="auto" w:fill="FFFFFF"/>
        <w:spacing w:after="0" w:line="240" w:lineRule="auto"/>
        <w:jc w:val="both"/>
        <w:rPr>
          <w:rFonts w:ascii="Arial Narrow" w:eastAsia="Times New Roman" w:hAnsi="Arial Narrow" w:cs="Times New Roman"/>
          <w:b/>
          <w:color w:val="495057"/>
          <w:sz w:val="24"/>
          <w:szCs w:val="24"/>
          <w:lang w:eastAsia="es-CO"/>
        </w:rPr>
      </w:pPr>
    </w:p>
    <w:p w:rsidR="0020286F" w:rsidRDefault="0020286F" w:rsidP="0020286F">
      <w:pPr>
        <w:shd w:val="clear" w:color="auto" w:fill="FFFFFF"/>
        <w:spacing w:after="0" w:line="240" w:lineRule="auto"/>
        <w:jc w:val="both"/>
        <w:rPr>
          <w:rFonts w:ascii="Arial Narrow" w:eastAsia="Times New Roman" w:hAnsi="Arial Narrow" w:cs="Times New Roman"/>
          <w:color w:val="495057"/>
          <w:sz w:val="24"/>
          <w:szCs w:val="24"/>
          <w:lang w:eastAsia="es-CO"/>
        </w:rPr>
      </w:pPr>
      <w:r>
        <w:rPr>
          <w:rFonts w:ascii="Arial Narrow" w:eastAsia="Times New Roman" w:hAnsi="Arial Narrow" w:cs="Times New Roman"/>
          <w:color w:val="495057"/>
          <w:sz w:val="24"/>
          <w:szCs w:val="24"/>
          <w:lang w:eastAsia="es-CO"/>
        </w:rPr>
        <w:t xml:space="preserve">Precisamente, el hecho de que se haya adoptado la procedencia del recurso de </w:t>
      </w:r>
      <w:proofErr w:type="spellStart"/>
      <w:r>
        <w:rPr>
          <w:rFonts w:ascii="Arial Narrow" w:eastAsia="Times New Roman" w:hAnsi="Arial Narrow" w:cs="Times New Roman"/>
          <w:color w:val="495057"/>
          <w:sz w:val="24"/>
          <w:szCs w:val="24"/>
          <w:lang w:eastAsia="es-CO"/>
        </w:rPr>
        <w:t>reosición</w:t>
      </w:r>
      <w:proofErr w:type="spellEnd"/>
      <w:r>
        <w:rPr>
          <w:rFonts w:ascii="Arial Narrow" w:eastAsia="Times New Roman" w:hAnsi="Arial Narrow" w:cs="Times New Roman"/>
          <w:color w:val="495057"/>
          <w:sz w:val="24"/>
          <w:szCs w:val="24"/>
          <w:lang w:eastAsia="es-CO"/>
        </w:rPr>
        <w:t xml:space="preserve"> como regla general, trae consigo el que el recurso de apelación ahora se deba proponer directamente o como subsidiario del recurso de apelación, a elección del interesado. Con ello, también se pueden precaver desgastes, bien en la instancia primera, cuando se conoce la orientación del funcionario de mantener la decisión impugnada, o bien en la segunda instancia, si ocurre lo contrario.</w:t>
      </w:r>
    </w:p>
    <w:p w:rsidR="0020286F" w:rsidRDefault="0020286F" w:rsidP="0020286F">
      <w:pPr>
        <w:shd w:val="clear" w:color="auto" w:fill="FFFFFF"/>
        <w:spacing w:after="0" w:line="240" w:lineRule="auto"/>
        <w:jc w:val="both"/>
        <w:rPr>
          <w:rFonts w:ascii="Arial Narrow" w:eastAsia="Times New Roman" w:hAnsi="Arial Narrow" w:cs="Times New Roman"/>
          <w:color w:val="495057"/>
          <w:sz w:val="24"/>
          <w:szCs w:val="24"/>
          <w:lang w:eastAsia="es-CO"/>
        </w:rPr>
      </w:pPr>
    </w:p>
    <w:p w:rsidR="0020286F" w:rsidRDefault="0020286F" w:rsidP="0020286F">
      <w:pPr>
        <w:shd w:val="clear" w:color="auto" w:fill="FFFFFF"/>
        <w:spacing w:after="0" w:line="240" w:lineRule="auto"/>
        <w:jc w:val="both"/>
        <w:rPr>
          <w:rFonts w:ascii="Arial Narrow" w:eastAsia="Times New Roman" w:hAnsi="Arial Narrow" w:cs="Times New Roman"/>
          <w:i/>
          <w:color w:val="495057"/>
          <w:sz w:val="24"/>
          <w:szCs w:val="24"/>
          <w:lang w:eastAsia="es-CO"/>
        </w:rPr>
      </w:pPr>
      <w:r>
        <w:rPr>
          <w:rFonts w:ascii="Arial Narrow" w:eastAsia="Times New Roman" w:hAnsi="Arial Narrow" w:cs="Times New Roman"/>
          <w:color w:val="495057"/>
          <w:sz w:val="24"/>
          <w:szCs w:val="24"/>
          <w:lang w:eastAsia="es-CO"/>
        </w:rPr>
        <w:t>Otro punto, hace relación a la eliminación en la redacción del artículo 243 de la frase que generaba duda sobre si la procedencia se condicionaba al origen unipersonal o colegiado de las providencias</w:t>
      </w:r>
      <w:r w:rsidR="00096779" w:rsidRPr="00096779">
        <w:rPr>
          <w:rFonts w:ascii="Arial Narrow" w:eastAsia="Times New Roman" w:hAnsi="Arial Narrow" w:cs="Times New Roman"/>
          <w:color w:val="495057"/>
          <w:sz w:val="24"/>
          <w:szCs w:val="24"/>
          <w:lang w:eastAsia="es-CO"/>
        </w:rPr>
        <w:t>.</w:t>
      </w:r>
      <w:r>
        <w:rPr>
          <w:rFonts w:ascii="Arial Narrow" w:eastAsia="Times New Roman" w:hAnsi="Arial Narrow" w:cs="Times New Roman"/>
          <w:color w:val="495057"/>
          <w:sz w:val="24"/>
          <w:szCs w:val="24"/>
          <w:lang w:eastAsia="es-CO"/>
        </w:rPr>
        <w:t xml:space="preserve"> Así, se pasó de regular que: “</w:t>
      </w:r>
      <w:r w:rsidRPr="0020286F">
        <w:rPr>
          <w:rFonts w:ascii="Arial Narrow" w:eastAsia="Times New Roman" w:hAnsi="Arial Narrow" w:cs="Times New Roman"/>
          <w:i/>
          <w:color w:val="495057"/>
          <w:sz w:val="24"/>
          <w:szCs w:val="24"/>
          <w:lang w:eastAsia="es-CO"/>
        </w:rPr>
        <w:t>son apelables las sentencias de primera instancia de los Tribunales y de los Jueces. También serán apelables los siguientes autos proferidos en la misma instancia por los jueces administrativos</w:t>
      </w:r>
      <w:r>
        <w:rPr>
          <w:rFonts w:ascii="Arial Narrow" w:eastAsia="Times New Roman" w:hAnsi="Arial Narrow" w:cs="Times New Roman"/>
          <w:color w:val="495057"/>
          <w:sz w:val="24"/>
          <w:szCs w:val="24"/>
          <w:lang w:eastAsia="es-CO"/>
        </w:rPr>
        <w:t>”; a disponer que “</w:t>
      </w:r>
      <w:r w:rsidRPr="0020286F">
        <w:rPr>
          <w:rFonts w:ascii="Arial Narrow" w:eastAsia="Times New Roman" w:hAnsi="Arial Narrow" w:cs="Times New Roman"/>
          <w:i/>
          <w:color w:val="495057"/>
          <w:sz w:val="24"/>
          <w:szCs w:val="24"/>
          <w:lang w:eastAsia="es-CO"/>
        </w:rPr>
        <w:t>Son apelables las sentencias de primera instancia y los siguientes autos proferidos en la misma instancia”</w:t>
      </w:r>
    </w:p>
    <w:p w:rsidR="0020286F" w:rsidRDefault="0020286F" w:rsidP="0020286F">
      <w:pPr>
        <w:shd w:val="clear" w:color="auto" w:fill="FFFFFF"/>
        <w:spacing w:after="0" w:line="240" w:lineRule="auto"/>
        <w:jc w:val="both"/>
        <w:rPr>
          <w:rFonts w:ascii="Arial Narrow" w:eastAsia="Times New Roman" w:hAnsi="Arial Narrow" w:cs="Times New Roman"/>
          <w:i/>
          <w:color w:val="495057"/>
          <w:sz w:val="24"/>
          <w:szCs w:val="24"/>
          <w:lang w:eastAsia="es-CO"/>
        </w:rPr>
      </w:pPr>
    </w:p>
    <w:p w:rsidR="0020286F" w:rsidRDefault="005949C7" w:rsidP="0020286F">
      <w:pPr>
        <w:shd w:val="clear" w:color="auto" w:fill="FFFFFF"/>
        <w:spacing w:after="0" w:line="240" w:lineRule="auto"/>
        <w:jc w:val="both"/>
        <w:rPr>
          <w:rFonts w:ascii="Arial Narrow" w:eastAsia="Times New Roman" w:hAnsi="Arial Narrow" w:cs="Times New Roman"/>
          <w:color w:val="495057"/>
          <w:sz w:val="24"/>
          <w:szCs w:val="24"/>
          <w:lang w:eastAsia="es-CO"/>
        </w:rPr>
      </w:pPr>
      <w:r>
        <w:rPr>
          <w:rFonts w:ascii="Arial Narrow" w:eastAsia="Times New Roman" w:hAnsi="Arial Narrow" w:cs="Times New Roman"/>
          <w:color w:val="495057"/>
          <w:sz w:val="24"/>
          <w:szCs w:val="24"/>
          <w:lang w:eastAsia="es-CO"/>
        </w:rPr>
        <w:t>En el listado de autos susceptibles de apelación, se integr</w:t>
      </w:r>
      <w:r w:rsidR="00513A6A">
        <w:rPr>
          <w:rFonts w:ascii="Arial Narrow" w:eastAsia="Times New Roman" w:hAnsi="Arial Narrow" w:cs="Times New Roman"/>
          <w:color w:val="495057"/>
          <w:sz w:val="24"/>
          <w:szCs w:val="24"/>
          <w:lang w:eastAsia="es-CO"/>
        </w:rPr>
        <w:t>aron e</w:t>
      </w:r>
      <w:r>
        <w:rPr>
          <w:rFonts w:ascii="Arial Narrow" w:eastAsia="Times New Roman" w:hAnsi="Arial Narrow" w:cs="Times New Roman"/>
          <w:color w:val="495057"/>
          <w:sz w:val="24"/>
          <w:szCs w:val="24"/>
          <w:lang w:eastAsia="es-CO"/>
        </w:rPr>
        <w:t>n la norma especial, el auto que rechaza la reforma a la demanda total o parcialmente, o el que niega total o parcialmente el mandamiento de pago.</w:t>
      </w:r>
    </w:p>
    <w:p w:rsidR="00513A6A" w:rsidRDefault="00513A6A" w:rsidP="0020286F">
      <w:pPr>
        <w:shd w:val="clear" w:color="auto" w:fill="FFFFFF"/>
        <w:spacing w:after="0" w:line="240" w:lineRule="auto"/>
        <w:jc w:val="both"/>
        <w:rPr>
          <w:rFonts w:ascii="Arial Narrow" w:eastAsia="Times New Roman" w:hAnsi="Arial Narrow" w:cs="Times New Roman"/>
          <w:color w:val="495057"/>
          <w:sz w:val="24"/>
          <w:szCs w:val="24"/>
          <w:lang w:eastAsia="es-CO"/>
        </w:rPr>
      </w:pPr>
    </w:p>
    <w:p w:rsidR="00513A6A" w:rsidRDefault="00513A6A" w:rsidP="0020286F">
      <w:pPr>
        <w:shd w:val="clear" w:color="auto" w:fill="FFFFFF"/>
        <w:spacing w:after="0" w:line="240" w:lineRule="auto"/>
        <w:jc w:val="both"/>
        <w:rPr>
          <w:rFonts w:ascii="Arial Narrow" w:eastAsia="Times New Roman" w:hAnsi="Arial Narrow" w:cs="Times New Roman"/>
          <w:b/>
          <w:color w:val="495057"/>
          <w:sz w:val="24"/>
          <w:szCs w:val="24"/>
          <w:lang w:eastAsia="es-CO"/>
        </w:rPr>
      </w:pPr>
      <w:r>
        <w:rPr>
          <w:rFonts w:ascii="Arial Narrow" w:eastAsia="Times New Roman" w:hAnsi="Arial Narrow" w:cs="Times New Roman"/>
          <w:b/>
          <w:color w:val="495057"/>
          <w:sz w:val="24"/>
          <w:szCs w:val="24"/>
          <w:lang w:eastAsia="es-CO"/>
        </w:rPr>
        <w:t>Sobre las providencias no susceptibles de recurso alguno:</w:t>
      </w:r>
    </w:p>
    <w:p w:rsidR="00513A6A" w:rsidRDefault="00513A6A" w:rsidP="0020286F">
      <w:pPr>
        <w:shd w:val="clear" w:color="auto" w:fill="FFFFFF"/>
        <w:spacing w:after="0" w:line="240" w:lineRule="auto"/>
        <w:jc w:val="both"/>
        <w:rPr>
          <w:rFonts w:ascii="Arial Narrow" w:eastAsia="Times New Roman" w:hAnsi="Arial Narrow" w:cs="Times New Roman"/>
          <w:b/>
          <w:color w:val="495057"/>
          <w:sz w:val="24"/>
          <w:szCs w:val="24"/>
          <w:lang w:eastAsia="es-CO"/>
        </w:rPr>
      </w:pPr>
    </w:p>
    <w:p w:rsidR="00096779" w:rsidRDefault="00513A6A" w:rsidP="00513A6A">
      <w:pPr>
        <w:shd w:val="clear" w:color="auto" w:fill="FFFFFF"/>
        <w:spacing w:after="0" w:line="240" w:lineRule="auto"/>
        <w:jc w:val="both"/>
        <w:rPr>
          <w:rFonts w:ascii="Arial Narrow" w:eastAsia="Times New Roman" w:hAnsi="Arial Narrow" w:cs="Times New Roman"/>
          <w:color w:val="495057"/>
          <w:sz w:val="24"/>
          <w:szCs w:val="24"/>
          <w:lang w:eastAsia="es-CO"/>
        </w:rPr>
      </w:pPr>
      <w:r w:rsidRPr="00513A6A">
        <w:rPr>
          <w:rFonts w:ascii="Arial Narrow" w:eastAsia="Times New Roman" w:hAnsi="Arial Narrow" w:cs="Times New Roman"/>
          <w:color w:val="495057"/>
          <w:sz w:val="24"/>
          <w:szCs w:val="24"/>
          <w:lang w:eastAsia="es-CO"/>
        </w:rPr>
        <w:t xml:space="preserve">En el </w:t>
      </w:r>
      <w:r>
        <w:rPr>
          <w:rFonts w:ascii="Arial Narrow" w:eastAsia="Times New Roman" w:hAnsi="Arial Narrow" w:cs="Times New Roman"/>
          <w:color w:val="495057"/>
          <w:sz w:val="24"/>
          <w:szCs w:val="24"/>
          <w:lang w:eastAsia="es-CO"/>
        </w:rPr>
        <w:t>nuevo artículo 243ª, ciertamente se prevé un listado, entiéndase enunciativo, de las providencias, incluidas las sentencias de única o segunda instancia, que no son susceptibles de recursos; con ello se permite a los funcionarios unipersonales y colegiados tener claridad frente al trámite de los recursos ordinarios, como una forma de evitar dicotomías o ambigüedades en la aplicación de los mismos. De esta manera se evitan desgastes, recursos absolutamente improcedentes, y cualquier afán dilatorio que pueda yacer en las partes o intervinientes.</w:t>
      </w:r>
    </w:p>
    <w:bookmarkEnd w:id="0"/>
    <w:p w:rsidR="00513A6A" w:rsidRDefault="00513A6A" w:rsidP="00513A6A">
      <w:pPr>
        <w:shd w:val="clear" w:color="auto" w:fill="FFFFFF"/>
        <w:spacing w:after="0" w:line="240" w:lineRule="auto"/>
        <w:jc w:val="both"/>
        <w:rPr>
          <w:rFonts w:ascii="Arial Narrow" w:eastAsia="Times New Roman" w:hAnsi="Arial Narrow" w:cs="Times New Roman"/>
          <w:color w:val="495057"/>
          <w:sz w:val="24"/>
          <w:szCs w:val="24"/>
          <w:lang w:eastAsia="es-CO"/>
        </w:rPr>
      </w:pPr>
    </w:p>
    <w:p w:rsidR="00513A6A" w:rsidRDefault="00513A6A" w:rsidP="00513A6A">
      <w:pPr>
        <w:shd w:val="clear" w:color="auto" w:fill="FFFFFF"/>
        <w:spacing w:after="0" w:line="240" w:lineRule="auto"/>
        <w:jc w:val="both"/>
        <w:rPr>
          <w:rFonts w:ascii="Arial Narrow" w:eastAsia="Times New Roman" w:hAnsi="Arial Narrow" w:cs="Times New Roman"/>
          <w:color w:val="495057"/>
          <w:sz w:val="24"/>
          <w:szCs w:val="24"/>
          <w:lang w:eastAsia="es-CO"/>
        </w:rPr>
      </w:pPr>
    </w:p>
    <w:p w:rsidR="00513A6A" w:rsidRPr="00096779" w:rsidRDefault="00513A6A" w:rsidP="00513A6A">
      <w:pPr>
        <w:shd w:val="clear" w:color="auto" w:fill="FFFFFF"/>
        <w:spacing w:after="0" w:line="240" w:lineRule="auto"/>
        <w:jc w:val="both"/>
        <w:rPr>
          <w:rFonts w:ascii="Arial Narrow" w:eastAsia="Times New Roman" w:hAnsi="Arial Narrow" w:cs="Times New Roman"/>
          <w:color w:val="495057"/>
          <w:sz w:val="24"/>
          <w:szCs w:val="24"/>
          <w:lang w:eastAsia="es-CO"/>
        </w:rPr>
      </w:pPr>
    </w:p>
    <w:p w:rsidR="00494324" w:rsidRPr="00096779" w:rsidRDefault="00513A6A" w:rsidP="00096779">
      <w:pPr>
        <w:spacing w:after="0"/>
        <w:jc w:val="both"/>
        <w:rPr>
          <w:rFonts w:ascii="Arial Narrow" w:hAnsi="Arial Narrow"/>
          <w:sz w:val="24"/>
          <w:szCs w:val="24"/>
        </w:rPr>
      </w:pPr>
    </w:p>
    <w:sectPr w:rsidR="00494324" w:rsidRPr="000967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03996"/>
    <w:multiLevelType w:val="multilevel"/>
    <w:tmpl w:val="C59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074CC"/>
    <w:multiLevelType w:val="multilevel"/>
    <w:tmpl w:val="14A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9"/>
    <w:rsid w:val="00096779"/>
    <w:rsid w:val="0020286F"/>
    <w:rsid w:val="003100C2"/>
    <w:rsid w:val="00513A6A"/>
    <w:rsid w:val="005949C7"/>
    <w:rsid w:val="006053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3550"/>
  <w15:chartTrackingRefBased/>
  <w15:docId w15:val="{63BA49C7-C2FC-418A-9793-915A0D30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67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96779"/>
    <w:rPr>
      <w:b/>
      <w:bCs/>
    </w:rPr>
  </w:style>
  <w:style w:type="character" w:styleId="nfasis">
    <w:name w:val="Emphasis"/>
    <w:basedOn w:val="Fuentedeprrafopredeter"/>
    <w:uiPriority w:val="20"/>
    <w:qFormat/>
    <w:rsid w:val="00096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37025">
      <w:bodyDiv w:val="1"/>
      <w:marLeft w:val="0"/>
      <w:marRight w:val="0"/>
      <w:marTop w:val="0"/>
      <w:marBottom w:val="0"/>
      <w:divBdr>
        <w:top w:val="none" w:sz="0" w:space="0" w:color="auto"/>
        <w:left w:val="none" w:sz="0" w:space="0" w:color="auto"/>
        <w:bottom w:val="none" w:sz="0" w:space="0" w:color="auto"/>
        <w:right w:val="none" w:sz="0" w:space="0" w:color="auto"/>
      </w:divBdr>
      <w:divsChild>
        <w:div w:id="381443107">
          <w:blockQuote w:val="1"/>
          <w:marLeft w:val="720"/>
          <w:marRight w:val="720"/>
          <w:marTop w:val="100"/>
          <w:marBottom w:val="1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PASTRANA</dc:creator>
  <cp:keywords/>
  <dc:description/>
  <cp:lastModifiedBy>ELIAS PASTRANA</cp:lastModifiedBy>
  <cp:revision>1</cp:revision>
  <dcterms:created xsi:type="dcterms:W3CDTF">2021-09-16T20:48:00Z</dcterms:created>
  <dcterms:modified xsi:type="dcterms:W3CDTF">2021-09-16T21:28:00Z</dcterms:modified>
</cp:coreProperties>
</file>