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37EAA95C" w14:textId="7601D58C" w:rsidR="00F17D9A" w:rsidRDefault="00F17D9A"/>
    <w:p w14:paraId="5334AA61" w14:textId="0CC655DF" w:rsidR="00E93FC5" w:rsidRDefault="00E93FC5" w:rsidP="000C7C8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RECURSO EXTRAORDINARIO DE REVISIÓN</w:t>
      </w:r>
      <w:r>
        <w:rPr>
          <w:rStyle w:val="Ninguno"/>
          <w:u w:color="000000"/>
          <w14:textOutline w14:w="12700" w14:cap="flat" w14:cmpd="sng" w14:algn="ctr">
            <w14:noFill/>
            <w14:prstDash w14:val="solid"/>
            <w14:miter w14:lim="400000"/>
          </w14:textOutline>
        </w:rPr>
        <w:t xml:space="preserve">. </w:t>
      </w:r>
    </w:p>
    <w:p w14:paraId="3F6A5A7D" w14:textId="1AE10FD6" w:rsidR="00E93FC5"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705CF4FB" w:rsidR="00E93FC5" w:rsidRDefault="003A3271" w:rsidP="003A3271">
            <w:pPr>
              <w:jc w:val="center"/>
            </w:pPr>
            <w: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763664AB" w:rsidR="00E93FC5" w:rsidRDefault="003A3271" w:rsidP="00E321DA">
            <w:r>
              <w:t>Se inadmitirá por no reunir los requisitos formales exigidos en el artículo 252, se concederá al recurrente un plazo de cinco (5) días para subsanar los defectos advertidos</w:t>
            </w:r>
          </w:p>
        </w:tc>
      </w:tr>
      <w:tr w:rsidR="00E93FC5"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B0C8DAF" w:rsidR="00E93FC5" w:rsidRDefault="003A3271" w:rsidP="003A3271">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CB05CC8" w14:textId="77777777" w:rsidR="003A3271" w:rsidRDefault="003A3271" w:rsidP="003A3271">
            <w:r>
              <w:t>El recurso se rechazará cuando:</w:t>
            </w:r>
          </w:p>
          <w:p w14:paraId="159755A4" w14:textId="4AAFE942" w:rsidR="003A3271" w:rsidRDefault="003A3271" w:rsidP="003A3271"/>
          <w:p w14:paraId="69BD1F83" w14:textId="77777777" w:rsidR="003A3271" w:rsidRDefault="003A3271" w:rsidP="003A3271">
            <w:r>
              <w:t>1. No se presente en el término legal.</w:t>
            </w:r>
          </w:p>
          <w:p w14:paraId="61B83CC2" w14:textId="1568EF3C" w:rsidR="003A3271" w:rsidRDefault="003A3271" w:rsidP="003A3271"/>
          <w:p w14:paraId="73FFBC0F" w14:textId="77777777" w:rsidR="003A3271" w:rsidRDefault="003A3271" w:rsidP="003A3271">
            <w:r>
              <w:t>2. Haya sido formulado por quien carece de legitimación para hacerlo.</w:t>
            </w:r>
          </w:p>
          <w:p w14:paraId="3DD5C752" w14:textId="308B2F6B" w:rsidR="003A3271" w:rsidRDefault="003A3271" w:rsidP="003A3271"/>
          <w:p w14:paraId="73EC2D7F" w14:textId="4D4C7047" w:rsidR="00E93FC5" w:rsidRDefault="003A3271" w:rsidP="003A3271">
            <w:r>
              <w:t>3. No se subsanen en término las falencias advertidas en la inadmisión.</w:t>
            </w:r>
          </w:p>
        </w:tc>
      </w:tr>
      <w:tr w:rsidR="00E93FC5"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Default="00E93FC5" w:rsidP="00E321DA">
            <w:pPr>
              <w:pStyle w:val="Cuerpo"/>
              <w:tabs>
                <w:tab w:val="left" w:pos="708"/>
                <w:tab w:val="left" w:pos="1416"/>
                <w:tab w:val="left" w:pos="2124"/>
                <w:tab w:val="left" w:pos="2832"/>
              </w:tabs>
              <w:jc w:val="both"/>
            </w:pPr>
            <w:r>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Default="00E93FC5" w:rsidP="00E321DA">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Default="00E93FC5" w:rsidP="00E321DA">
            <w:pPr>
              <w:pStyle w:val="Cuerpo"/>
              <w:tabs>
                <w:tab w:val="left" w:pos="708"/>
                <w:tab w:val="left" w:pos="1416"/>
                <w:tab w:val="left" w:pos="2124"/>
                <w:tab w:val="left" w:pos="2832"/>
              </w:tabs>
              <w:jc w:val="both"/>
            </w:pPr>
          </w:p>
        </w:tc>
      </w:tr>
      <w:tr w:rsidR="00E93FC5"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1EC4695F" w:rsidR="00E93FC5" w:rsidRDefault="003A3271" w:rsidP="00E321DA">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0D9F045C" w:rsidR="00E93FC5" w:rsidRDefault="003A3271" w:rsidP="00E321DA">
            <w:r w:rsidRPr="003A3271">
              <w:t>Dentro de este trámite no se podrán proponer excepciones previas y tampoco procederá la reforma del recurso de revisión.</w:t>
            </w:r>
          </w:p>
        </w:tc>
      </w:tr>
      <w:tr w:rsidR="00E93FC5"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14F7EA86" w:rsidR="00E93FC5" w:rsidRDefault="003A3271" w:rsidP="00E321DA">
            <w: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50185BFF" w:rsidR="00E93FC5" w:rsidRDefault="003A3271" w:rsidP="00E321DA">
            <w:r w:rsidRPr="003A3271">
              <w:t>En ningún caso, el trámite del recurso de revisión suspende el cumplimiento de la sentencia.</w:t>
            </w:r>
          </w:p>
        </w:tc>
      </w:tr>
    </w:tbl>
    <w:p w14:paraId="47293B11" w14:textId="7E9668D9" w:rsidR="00E93FC5" w:rsidRDefault="00E93FC5"/>
    <w:p w14:paraId="6B414E61" w14:textId="4368E1B0" w:rsidR="00E93FC5" w:rsidRDefault="00E93FC5"/>
    <w:p w14:paraId="6FFE71D4" w14:textId="2FD8FE97" w:rsidR="00E93FC5" w:rsidRDefault="00E93FC5" w:rsidP="000C7C8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Sentencia</w:t>
      </w:r>
      <w:r>
        <w:rPr>
          <w:rStyle w:val="Ninguno"/>
          <w:u w:color="000000"/>
          <w14:textOutline w14:w="12700" w14:cap="flat" w14:cmpd="sng" w14:algn="ctr">
            <w14:noFill/>
            <w14:prstDash w14:val="solid"/>
            <w14:miter w14:lim="400000"/>
          </w14:textOutline>
        </w:rPr>
        <w:t xml:space="preserve">. </w:t>
      </w:r>
    </w:p>
    <w:p w14:paraId="0F61CF3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9E260E2" w14:textId="1B6F1916" w:rsidR="00E93FC5"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A87B7F"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76780" w:rsidRDefault="00E93FC5" w:rsidP="00E321DA">
            <w:pPr>
              <w:pStyle w:val="Estilodetabla2A"/>
              <w:jc w:val="both"/>
              <w:rPr>
                <w:b/>
                <w:bCs/>
              </w:rPr>
            </w:pPr>
            <w:r w:rsidRPr="00776780">
              <w:rPr>
                <w:rStyle w:val="Ninguno"/>
                <w:b/>
                <w:bCs/>
              </w:rPr>
              <w:t>SENTENCIA POR LAS CAUSALES: de los numerales 1 a 4 y 6 a 8 del artículo 250 del CPACA o del literal b) del artículo 20 de la Ley 797 de 2003</w:t>
            </w:r>
            <w:r>
              <w:rPr>
                <w:rStyle w:val="Ninguno"/>
                <w:b/>
                <w:bCs/>
              </w:rPr>
              <w:t>.</w:t>
            </w:r>
            <w:r w:rsidRPr="00776780">
              <w:rPr>
                <w:rStyle w:val="Ninguno"/>
                <w:b/>
                <w:bCs/>
              </w:rPr>
              <w:t xml:space="preserve">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sidRPr="00776780">
              <w:rPr>
                <w:rFonts w:asciiTheme="minorHAnsi" w:hAnsiTheme="minorHAnsi" w:cs="Arial"/>
                <w:color w:val="000000"/>
                <w:u w:val="single"/>
              </w:rPr>
              <w:t>:</w:t>
            </w:r>
          </w:p>
          <w:p w14:paraId="4E214F26"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2. Haberse dictado la sentencia con fundamento en documentos falsos o adulterados. </w:t>
            </w:r>
          </w:p>
          <w:p w14:paraId="13656173"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3. Haberse dictado la sentencia con base en dictamen de peritos condenados penalmente por ilícitos cometidos en su expedición. </w:t>
            </w:r>
          </w:p>
          <w:p w14:paraId="335841D5"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4. Haberse dictado sentencia penal que declare que hubo violencia o cohecho en el pronunciamiento de la sentencia. </w:t>
            </w:r>
          </w:p>
          <w:p w14:paraId="5BE2660A"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6. Aparecer, después de dictada la sentencia a favor de una persona, otra con mejor derecho para reclamar. </w:t>
            </w:r>
          </w:p>
          <w:p w14:paraId="1771696C"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lastRenderedPageBreak/>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p>
          <w:p w14:paraId="2EB5EE50"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776780">
              <w:rPr>
                <w:rFonts w:asciiTheme="minorHAnsi" w:hAnsiTheme="minorHAnsi" w:cs="Arial"/>
                <w:b/>
                <w:bCs/>
                <w:color w:val="000000" w:themeColor="text1"/>
                <w:u w:val="single"/>
              </w:rPr>
              <w:t>Artículo 20 de la Ley 797 de 2003:</w:t>
            </w:r>
          </w:p>
          <w:p w14:paraId="148436F3"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a) Cuando el reconocimiento se haya obtenido con violación al debido proceso, y</w:t>
            </w:r>
          </w:p>
          <w:p w14:paraId="2F3CD17C"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b) Cuando la cuantía del derecho reconocido excediere lo debido de acuerdo con la ley, pacto o convención colectiva que le eran legalmente aplicables</w:t>
            </w:r>
            <w:r>
              <w:rPr>
                <w:rFonts w:asciiTheme="minorHAnsi" w:hAnsiTheme="minorHAnsi" w:cs="Open Sans"/>
                <w:color w:val="000000" w:themeColor="text1"/>
              </w:rPr>
              <w:t>.</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C87B53" w14:textId="4A063568" w:rsidR="00E93FC5" w:rsidRDefault="005B621E" w:rsidP="00E321DA">
            <w:r>
              <w:lastRenderedPageBreak/>
              <w:t>Se i</w:t>
            </w:r>
            <w:r w:rsidRPr="005B621E">
              <w:t>nvalidará la sentencia revisada y dictará la que en derecho corresponde.</w:t>
            </w:r>
          </w:p>
          <w:p w14:paraId="5615D90B" w14:textId="77777777" w:rsidR="005B621E" w:rsidRDefault="005B621E" w:rsidP="00E321DA"/>
          <w:p w14:paraId="4B3D4748" w14:textId="17CCB46F" w:rsidR="005B621E" w:rsidRPr="00B815C6" w:rsidRDefault="005B621E" w:rsidP="005B621E"/>
        </w:tc>
      </w:tr>
      <w:tr w:rsidR="00E93FC5" w:rsidRPr="00A87B7F"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776780" w:rsidRDefault="00E93FC5" w:rsidP="00E321DA">
            <w:pPr>
              <w:pStyle w:val="Estilodetabla2A"/>
              <w:jc w:val="both"/>
              <w:rPr>
                <w:b/>
                <w:bCs/>
              </w:rPr>
            </w:pPr>
            <w:r w:rsidRPr="00776780">
              <w:rPr>
                <w:rStyle w:val="Ninguno"/>
                <w:b/>
                <w:bCs/>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Pr>
                <w:rFonts w:asciiTheme="minorHAnsi" w:hAnsiTheme="minorHAnsi" w:cs="Arial"/>
                <w:b/>
                <w:bCs/>
                <w:color w:val="000000"/>
                <w:u w:val="single"/>
              </w:rPr>
              <w:t>:</w:t>
            </w:r>
          </w:p>
          <w:p w14:paraId="547D4D8C"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rPr>
            </w:pPr>
            <w:r w:rsidRPr="00776780">
              <w:rPr>
                <w:rFonts w:asciiTheme="minorHAnsi" w:hAnsiTheme="minorHAnsi" w:cs="Arial"/>
                <w:color w:val="000000"/>
              </w:rPr>
              <w:t>5. Existir nulidad originada en la sentencia que puso fin al proceso y contra la que no procede recurso de apelación. </w:t>
            </w:r>
          </w:p>
          <w:p w14:paraId="6614DAE2" w14:textId="77777777" w:rsidR="00E93FC5" w:rsidRDefault="00E93FC5" w:rsidP="00E321DA"/>
          <w:p w14:paraId="491E06F0" w14:textId="77777777" w:rsidR="00E93FC5" w:rsidRPr="00B815C6" w:rsidRDefault="00E93FC5" w:rsidP="00E321DA"/>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654603A1" w:rsidR="00E93FC5" w:rsidRPr="00B815C6" w:rsidRDefault="005B621E" w:rsidP="00E321DA">
            <w:r>
              <w:t>Se d</w:t>
            </w:r>
            <w:r w:rsidRPr="005B621E">
              <w:t>eclarará la nulidad de la sentencia o de la actuación afectada con la causal que dio lugar a la revisión, y devolverá el proceso a la autoridad judicial de origen para que rehaga lo actuado o dicte sentencia de nuevo, según corresponda.</w:t>
            </w:r>
          </w:p>
        </w:tc>
      </w:tr>
      <w:tr w:rsidR="00E93FC5" w:rsidRPr="00A87B7F"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76780" w:rsidRDefault="00E93FC5" w:rsidP="00E321DA">
            <w:pPr>
              <w:pStyle w:val="Estilodetabla2A"/>
              <w:jc w:val="both"/>
              <w:rPr>
                <w:b/>
                <w:bCs/>
              </w:rPr>
            </w:pPr>
            <w:r w:rsidRPr="00776780">
              <w:rPr>
                <w:rStyle w:val="Ninguno"/>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76780" w:rsidRDefault="00E93FC5" w:rsidP="00E321DA">
            <w:pPr>
              <w:jc w:val="center"/>
              <w:rPr>
                <w:rFonts w:asciiTheme="minorHAnsi" w:hAnsiTheme="minorHAnsi"/>
              </w:rPr>
            </w:pPr>
            <w:r w:rsidRPr="00776780">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1AC67541" w:rsidR="00E93FC5" w:rsidRPr="00B815C6" w:rsidRDefault="005B621E" w:rsidP="00E321DA">
            <w:r>
              <w:t>S</w:t>
            </w:r>
            <w:r w:rsidRPr="005B621E">
              <w:t>e condenará en costas y perjuicios al recurrente.</w:t>
            </w:r>
          </w:p>
        </w:tc>
      </w:tr>
      <w:tr w:rsidR="00E93FC5" w:rsidRPr="00A87B7F"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76780" w:rsidRDefault="00E93FC5" w:rsidP="00E321DA">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04397D7B" w:rsidR="00E93FC5" w:rsidRPr="00B815C6" w:rsidRDefault="005B621E" w:rsidP="00E321DA">
            <w:pPr>
              <w:jc w:val="center"/>
            </w:pPr>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1FFFF99" w14:textId="77777777" w:rsidR="00E93FC5" w:rsidRDefault="005B621E" w:rsidP="00E321DA">
            <w:r w:rsidRPr="005B621E">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w:t>
            </w:r>
            <w:r w:rsidRPr="005B621E">
              <w:lastRenderedPageBreak/>
              <w:t xml:space="preserve">cumplimiento a </w:t>
            </w:r>
            <w:r>
              <w:t>lo dispuesto en el artículo 193 del CPACA.</w:t>
            </w:r>
          </w:p>
          <w:p w14:paraId="24D7F1B9" w14:textId="77777777" w:rsidR="005B621E" w:rsidRDefault="005B621E" w:rsidP="00E321DA"/>
          <w:p w14:paraId="0501C357" w14:textId="2F4721FD" w:rsidR="005B621E" w:rsidRPr="00B815C6" w:rsidRDefault="005B621E" w:rsidP="00E321DA">
            <w:r>
              <w:t>En la sentencia que declare la nulidad, se</w:t>
            </w:r>
            <w:r w:rsidRPr="005B621E">
              <w:t xml:space="preserve"> devolverá el proceso a la autoridad judicial de origen para que rehaga lo actuado o dicte sentencia de nuevo, según corresponda.</w:t>
            </w:r>
          </w:p>
        </w:tc>
      </w:tr>
    </w:tbl>
    <w:p w14:paraId="73E20381" w14:textId="40AD51EA" w:rsidR="00E93FC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32ABB1A3" w:rsidR="00E93FC5" w:rsidRDefault="00E93FC5" w:rsidP="000C7C8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w:t>
      </w:r>
      <w:bookmarkStart w:id="0" w:name="_GoBack"/>
      <w:bookmarkEnd w:id="0"/>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1F9573" w14:textId="77777777" w:rsidR="00E93FC5" w:rsidRDefault="005B621E" w:rsidP="00E321DA">
            <w:r>
              <w:t>Se adiciona:</w:t>
            </w:r>
          </w:p>
          <w:p w14:paraId="2FDBA3AF" w14:textId="77777777" w:rsidR="005B621E" w:rsidRDefault="005B621E" w:rsidP="00E321DA"/>
          <w:p w14:paraId="2757B315" w14:textId="465D6500" w:rsidR="005B621E" w:rsidRDefault="005B621E" w:rsidP="00E321DA">
            <w:r>
              <w:t>Lo asuntos pendientes de decision interlocutoria</w:t>
            </w:r>
            <w:r w:rsidR="00F068DD">
              <w:t>.</w:t>
            </w:r>
          </w:p>
        </w:tc>
      </w:tr>
      <w:tr w:rsidR="00E93FC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5223C25" w14:textId="77777777" w:rsidR="00E93FC5" w:rsidRDefault="00F068DD" w:rsidP="00E321DA">
            <w:r>
              <w:t>Se adiciona:</w:t>
            </w:r>
          </w:p>
          <w:p w14:paraId="49AA3A1A" w14:textId="7C601DA2" w:rsidR="00F068DD" w:rsidRDefault="00F068DD" w:rsidP="00E321DA"/>
          <w:p w14:paraId="08C53144" w14:textId="22DC66CA" w:rsidR="00F068DD" w:rsidRDefault="00F068DD" w:rsidP="00E321DA">
            <w:r>
              <w:t>Por solicitud de la Agencia Nacional de Defensa Jurídica del Estado o</w:t>
            </w:r>
          </w:p>
        </w:tc>
      </w:tr>
      <w:tr w:rsidR="00E93FC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A81FD4A" w14:textId="56DF27F3" w:rsidR="00E93FC5" w:rsidRDefault="00F068DD" w:rsidP="00E321DA">
            <w:r>
              <w:t>Se adiciona: “los autos”</w:t>
            </w:r>
          </w:p>
          <w:p w14:paraId="7066A57F" w14:textId="77777777" w:rsidR="00F068DD" w:rsidRDefault="00F068DD" w:rsidP="00E321DA"/>
          <w:p w14:paraId="7003897E" w14:textId="77777777" w:rsidR="00F068DD" w:rsidRDefault="00F068DD" w:rsidP="00E321DA">
            <w:r>
              <w:t>La Sala Plena de lo Contencioso Administrativo cuando se trate de decisions que pretendan unificar o sentar jurisprudencia sobre aspectos procesdales que sean transversales a todas la secciones.</w:t>
            </w:r>
          </w:p>
          <w:p w14:paraId="11321508" w14:textId="77777777" w:rsidR="00F068DD" w:rsidRDefault="00F068DD" w:rsidP="00E321DA"/>
          <w:p w14:paraId="0D0E22BF" w14:textId="2327A869" w:rsidR="00F068DD" w:rsidRDefault="00F068DD" w:rsidP="00F068DD">
            <w:r>
              <w:rPr>
                <w:rStyle w:val="Ninguno"/>
                <w:rFonts w:ascii="Helvetica Neue" w:hAnsi="Helvetica Neue" w:cs="Arial Unicode MS"/>
                <w:color w:val="000000"/>
                <w:u w:color="000000"/>
                <w14:textOutline w14:w="0" w14:cap="flat" w14:cmpd="sng" w14:algn="ctr">
                  <w14:noFill/>
                  <w14:prstDash w14:val="solid"/>
                  <w14:bevel/>
                </w14:textOutline>
              </w:rPr>
              <w:t>Las secciones del Consejo de Estado cuando los asuntos provengan de los despachos de los magistrados que las integran.</w:t>
            </w:r>
          </w:p>
        </w:tc>
      </w:tr>
      <w:tr w:rsidR="00E93FC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4AB21BF9" w:rsidR="00E93FC5" w:rsidRDefault="00F068DD" w:rsidP="00E321DA">
            <w:r>
              <w:t>L</w:t>
            </w:r>
            <w:r w:rsidRPr="00F068DD">
              <w:t>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tc>
      </w:tr>
      <w:tr w:rsidR="00E93FC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6A5FEBF" w14:textId="77777777" w:rsidR="00E93FC5" w:rsidRDefault="00F068DD" w:rsidP="00E321DA">
            <w:r>
              <w:t>Se adiciona</w:t>
            </w:r>
          </w:p>
          <w:p w14:paraId="03F4B3EA" w14:textId="77777777" w:rsidR="00F068DD" w:rsidRDefault="00F068DD" w:rsidP="00E321DA"/>
          <w:p w14:paraId="3B897484" w14:textId="65A25E74" w:rsidR="00F068DD" w:rsidRDefault="00F068DD" w:rsidP="00F068DD">
            <w:r>
              <w:t xml:space="preserve">Por </w:t>
            </w:r>
            <w:r w:rsidRPr="00F068DD">
              <w:t>necesidad de unificar jurisprudencia o precisar su alcance o resolver las divergencias en su interpretación y aplicación que ameriten la expedición de una sentencia o auto de unificación jurisprudencial</w:t>
            </w:r>
            <w:r>
              <w:t>.</w:t>
            </w:r>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D24EBB2" w14:textId="77777777" w:rsidR="00F068DD" w:rsidRDefault="00F068DD" w:rsidP="00F068DD">
            <w:r>
              <w:t xml:space="preserve">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w:t>
            </w:r>
            <w:r>
              <w:lastRenderedPageBreak/>
              <w:t>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7C72D65D" w14:textId="77777777" w:rsidR="00F068DD" w:rsidRDefault="00F068DD" w:rsidP="00F068DD"/>
          <w:p w14:paraId="5C96B1A8" w14:textId="77777777" w:rsidR="00F068DD" w:rsidRDefault="00F068DD" w:rsidP="00F068DD">
            <w:r>
              <w:t xml:space="preserve"> </w:t>
            </w:r>
          </w:p>
          <w:p w14:paraId="1C2A6E3F" w14:textId="77777777" w:rsidR="00F068DD" w:rsidRDefault="00F068DD" w:rsidP="00F068DD"/>
          <w:p w14:paraId="48535AB4" w14:textId="22D4362A" w:rsidR="00E93FC5" w:rsidRDefault="00F068DD" w:rsidP="00F068DD">
            <w:r>
              <w:t>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F6466" w14:textId="77777777" w:rsidR="00917C57" w:rsidRDefault="00917C57" w:rsidP="00431A7C">
      <w:r>
        <w:separator/>
      </w:r>
    </w:p>
  </w:endnote>
  <w:endnote w:type="continuationSeparator" w:id="0">
    <w:p w14:paraId="1C25AAE1" w14:textId="77777777" w:rsidR="00917C57" w:rsidRDefault="00917C57"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F2476" w14:textId="77777777" w:rsidR="00917C57" w:rsidRDefault="00917C57" w:rsidP="00431A7C">
      <w:r>
        <w:separator/>
      </w:r>
    </w:p>
  </w:footnote>
  <w:footnote w:type="continuationSeparator" w:id="0">
    <w:p w14:paraId="2DFA6FFB" w14:textId="77777777" w:rsidR="00917C57" w:rsidRDefault="00917C57" w:rsidP="00431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5"/>
    <w:rsid w:val="000A56E3"/>
    <w:rsid w:val="000C7C85"/>
    <w:rsid w:val="000E036C"/>
    <w:rsid w:val="00172559"/>
    <w:rsid w:val="003A3271"/>
    <w:rsid w:val="00431A7C"/>
    <w:rsid w:val="005B621E"/>
    <w:rsid w:val="00621DA7"/>
    <w:rsid w:val="00763472"/>
    <w:rsid w:val="00917C57"/>
    <w:rsid w:val="00B0550D"/>
    <w:rsid w:val="00C01D5B"/>
    <w:rsid w:val="00CF5193"/>
    <w:rsid w:val="00D17A57"/>
    <w:rsid w:val="00E93FC5"/>
    <w:rsid w:val="00F068DD"/>
    <w:rsid w:val="00F17D9A"/>
    <w:rsid w:val="00F27176"/>
    <w:rsid w:val="00FF54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1208</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Laura urrea carvajal</cp:lastModifiedBy>
  <cp:revision>9</cp:revision>
  <dcterms:created xsi:type="dcterms:W3CDTF">2021-08-31T15:32:00Z</dcterms:created>
  <dcterms:modified xsi:type="dcterms:W3CDTF">2021-09-19T22:28:00Z</dcterms:modified>
</cp:coreProperties>
</file>