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03B0B1F0"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8505E3">
        <w:rPr>
          <w:rFonts w:ascii="Arial" w:eastAsia="Calibri" w:hAnsi="Arial" w:cs="Arial"/>
          <w:lang w:val="es-MX"/>
        </w:rPr>
        <w:t xml:space="preserve"> CAMILO ANDRÉS VARGAS RENGIFO</w:t>
      </w:r>
    </w:p>
    <w:p w14:paraId="11FAD83D" w14:textId="7670C154"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8505E3">
        <w:rPr>
          <w:rFonts w:ascii="Arial" w:hAnsi="Arial" w:cs="Arial"/>
          <w:lang w:val="es-MX"/>
        </w:rPr>
        <w:t xml:space="preserve">19/08/2021 </w:t>
      </w:r>
    </w:p>
    <w:p w14:paraId="5F46461E" w14:textId="4A91C2BA"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8505E3">
        <w:rPr>
          <w:rFonts w:ascii="Arial" w:hAnsi="Arial" w:cs="Arial"/>
          <w:lang w:val="es-MX"/>
        </w:rPr>
        <w:t xml:space="preserve">REPETICIÓN </w:t>
      </w:r>
    </w:p>
    <w:p w14:paraId="25FCE250" w14:textId="06F37F49"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8505E3">
        <w:rPr>
          <w:rFonts w:ascii="Arial" w:hAnsi="Arial" w:cs="Arial"/>
          <w:lang w:val="es-MX"/>
        </w:rPr>
        <w:t xml:space="preserve"> UNIVERSIDAD NACIONAL DE COLOMBIA</w:t>
      </w:r>
    </w:p>
    <w:p w14:paraId="7182E2BD" w14:textId="0F61A69D"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8505E3" w:rsidRPr="008505E3">
        <w:t xml:space="preserve"> </w:t>
      </w:r>
      <w:proofErr w:type="spellStart"/>
      <w:r w:rsidR="008505E3" w:rsidRPr="008505E3">
        <w:rPr>
          <w:rFonts w:ascii="Arial" w:hAnsi="Arial" w:cs="Arial"/>
          <w:lang w:val="es-MX"/>
        </w:rPr>
        <w:t>Margy</w:t>
      </w:r>
      <w:proofErr w:type="spellEnd"/>
      <w:r w:rsidR="008505E3" w:rsidRPr="008505E3">
        <w:rPr>
          <w:rFonts w:ascii="Arial" w:hAnsi="Arial" w:cs="Arial"/>
          <w:lang w:val="es-MX"/>
        </w:rPr>
        <w:t xml:space="preserve"> Julieta Sáenz Bolívar, Rose Mary Sepúlveda Góngora</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9969B04">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3AF9A5C0" w:rsidR="00EB56C6" w:rsidRPr="00D747D0" w:rsidRDefault="00EB56C6" w:rsidP="00EB56C6">
                                  <w:pPr>
                                    <w:jc w:val="center"/>
                                    <w:rPr>
                                      <w:rFonts w:ascii="Arial" w:hAnsi="Arial" w:cs="Arial"/>
                                    </w:rPr>
                                  </w:pPr>
                                  <w:r>
                                    <w:rPr>
                                      <w:rFonts w:ascii="Arial" w:hAnsi="Arial" w:cs="Arial"/>
                                    </w:rPr>
                                    <w:t>NO</w:t>
                                  </w:r>
                                  <w:r w:rsidR="00846058">
                                    <w:rPr>
                                      <w:rFonts w:ascii="Arial" w:hAnsi="Arial" w:cs="Arial"/>
                                    </w:rPr>
                                    <w:t xml:space="preserve">  </w:t>
                                  </w:r>
                                  <w:proofErr w:type="spellStart"/>
                                  <w:r w:rsidR="00846058">
                                    <w:rPr>
                                      <w:rFonts w:ascii="Arial" w:hAnsi="Arial" w:cs="Arial"/>
                                    </w:rPr>
                                    <w:t>X</w:t>
                                  </w:r>
                                  <w:r>
                                    <w:rPr>
                                      <w:rFonts w:ascii="Arial" w:hAnsi="Arial" w:cs="Arial"/>
                                    </w:rPr>
                                    <w:t>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3AF9A5C0" w:rsidR="00EB56C6" w:rsidRPr="00D747D0" w:rsidRDefault="00EB56C6" w:rsidP="00EB56C6">
                            <w:pPr>
                              <w:jc w:val="center"/>
                              <w:rPr>
                                <w:rFonts w:ascii="Arial" w:hAnsi="Arial" w:cs="Arial"/>
                              </w:rPr>
                            </w:pPr>
                            <w:r>
                              <w:rPr>
                                <w:rFonts w:ascii="Arial" w:hAnsi="Arial" w:cs="Arial"/>
                              </w:rPr>
                              <w:t>NO</w:t>
                            </w:r>
                            <w:r w:rsidR="00846058">
                              <w:rPr>
                                <w:rFonts w:ascii="Arial" w:hAnsi="Arial" w:cs="Arial"/>
                              </w:rPr>
                              <w:t xml:space="preserve">  </w:t>
                            </w:r>
                            <w:proofErr w:type="spellStart"/>
                            <w:r w:rsidR="00846058">
                              <w:rPr>
                                <w:rFonts w:ascii="Arial" w:hAnsi="Arial" w:cs="Arial"/>
                              </w:rPr>
                              <w:t>X</w:t>
                            </w:r>
                            <w:r>
                              <w:rPr>
                                <w:rFonts w:ascii="Arial" w:hAnsi="Arial" w:cs="Arial"/>
                              </w:rPr>
                              <w:t>OOOOOOOoO</w:t>
                            </w:r>
                            <w:proofErr w:type="spellEnd"/>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4502739D" w:rsidR="00EB56C6" w:rsidRDefault="00846058" w:rsidP="00EB56C6">
            <w:pPr>
              <w:pStyle w:val="Sinespaciado"/>
              <w:rPr>
                <w:rFonts w:ascii="Arial" w:eastAsia="Calibri" w:hAnsi="Arial" w:cs="Arial"/>
                <w:lang w:val="es-MX"/>
              </w:rPr>
            </w:pPr>
            <w:r>
              <w:rPr>
                <w:rFonts w:ascii="Arial" w:eastAsia="Calibri" w:hAnsi="Arial" w:cs="Arial"/>
                <w:lang w:val="es-MX"/>
              </w:rPr>
              <w:t xml:space="preserve">                                                x</w:t>
            </w: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D747D0" w:rsidRDefault="00E0336A" w:rsidP="00E0336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14:paraId="58BA1625" w14:textId="77777777" w:rsidR="00E0336A" w:rsidRPr="00D747D0" w:rsidRDefault="00E0336A" w:rsidP="00E0336A">
                            <w:pPr>
                              <w:jc w:val="center"/>
                              <w:rPr>
                                <w:rFonts w:ascii="Arial" w:hAnsi="Arial" w:cs="Arial"/>
                              </w:rPr>
                            </w:pPr>
                            <w:r w:rsidRPr="00D747D0">
                              <w:rPr>
                                <w:rFonts w:ascii="Arial" w:hAnsi="Arial" w:cs="Arial"/>
                              </w:rPr>
                              <w:t>SI</w:t>
                            </w:r>
                          </w:p>
                        </w:txbxContent>
                      </v:textbox>
                    </v:rect>
                  </w:pict>
                </mc:Fallback>
              </mc:AlternateContent>
            </w:r>
          </w:p>
          <w:p w14:paraId="6F153DB7" w14:textId="4C8F5B8F" w:rsidR="00E0336A" w:rsidRDefault="00846058" w:rsidP="00DB46C0">
            <w:pPr>
              <w:pStyle w:val="Sinespaciado"/>
              <w:jc w:val="both"/>
              <w:rPr>
                <w:rFonts w:ascii="Arial" w:eastAsia="Calibri" w:hAnsi="Arial" w:cs="Arial"/>
                <w:lang w:val="es-MX"/>
              </w:rPr>
            </w:pPr>
            <w:r>
              <w:rPr>
                <w:rFonts w:ascii="Arial" w:eastAsia="Calibri" w:hAnsi="Arial" w:cs="Arial"/>
                <w:lang w:val="es-MX"/>
              </w:rPr>
              <w:t xml:space="preserve">                        x</w:t>
            </w: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6EDAD70C" w14:textId="16221B6B" w:rsidR="00336F8A" w:rsidRPr="00336F8A" w:rsidRDefault="008505E3" w:rsidP="008505E3">
            <w:pPr>
              <w:spacing w:before="100" w:beforeAutospacing="1" w:after="100" w:afterAutospacing="1"/>
              <w:jc w:val="both"/>
              <w:rPr>
                <w:rFonts w:ascii="Arial" w:eastAsia="Calibri" w:hAnsi="Arial" w:cs="Arial"/>
                <w:sz w:val="16"/>
                <w:szCs w:val="16"/>
                <w:lang w:val="es-MX"/>
              </w:rPr>
            </w:pPr>
            <w:r>
              <w:rPr>
                <w:rStyle w:val="FontStyle47"/>
                <w:rFonts w:ascii="Arial" w:hAnsi="Arial" w:cs="Arial"/>
                <w:lang w:val="es-ES_tradnl" w:eastAsia="es-ES_tradnl"/>
              </w:rPr>
              <w:t>El Juez Sesenta y Cuatro Administrativo Oral del Circuito Judicial de Bogotá, en sentencia del 21 de julio de 2020, negó las pretensiones de la demanda, por considerar que no existió prueba en la que se demostrar que la conducta desplegada por las demandadas estuviera incursa en los supuestos de dolo o culpa grave para viabilizar la pretensión de repetición.</w:t>
            </w:r>
            <w:r>
              <w:rPr>
                <w:rStyle w:val="FontStyle47"/>
                <w:rFonts w:ascii="Arial" w:hAnsi="Arial" w:cs="Arial"/>
                <w:lang w:val="es-ES_tradnl" w:eastAsia="es-ES_tradnl"/>
              </w:rPr>
              <w:t xml:space="preserve"> </w:t>
            </w:r>
            <w:r>
              <w:rPr>
                <w:rStyle w:val="FontStyle47"/>
                <w:rFonts w:ascii="Arial" w:hAnsi="Arial" w:cs="Arial"/>
                <w:lang w:val="es-ES_tradnl" w:eastAsia="es-ES_tradnl"/>
              </w:rPr>
              <w:t>Contra la decisión de primera instancia, la Universidad Nacional presentó recurso de apelación a través de apoderada, en el que es solicitada la revocatoria de la sentencia proferida el 21 de julio de 2021 y se acceda a las pretensiones de la demanda. Así mismo, la apoderada manifestó no estar de acuerdo con la condena en costas, toda vez que en su considerar, el despacho de instancia no verificó la existencia de elementos que demostraban la presunta culpabilidad de las demandadas en el detrimento patrimonial a la Institución de Educación Superior, que actuó con apego a los derechos que le asistieron en su oportunidad</w:t>
            </w:r>
            <w:r>
              <w:rPr>
                <w:rStyle w:val="FontStyle47"/>
                <w:rFonts w:ascii="Arial" w:hAnsi="Arial" w:cs="Arial"/>
                <w:lang w:val="es-ES_tradnl" w:eastAsia="es-ES_tradnl"/>
              </w:rPr>
              <w:t>.</w:t>
            </w: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7777777" w:rsidR="00FC6455" w:rsidRPr="00222D4A" w:rsidRDefault="00FC645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D747D0" w:rsidRDefault="00FC6455" w:rsidP="00FC6455">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14:paraId="79F66FE0" w14:textId="77777777" w:rsidR="00FC6455" w:rsidRPr="00D747D0" w:rsidRDefault="00FC6455" w:rsidP="00FC6455">
                            <w:pPr>
                              <w:jc w:val="center"/>
                              <w:rPr>
                                <w:rFonts w:ascii="Arial" w:hAnsi="Arial" w:cs="Arial"/>
                              </w:rPr>
                            </w:pPr>
                            <w:r w:rsidRPr="00D747D0">
                              <w:rPr>
                                <w:rFonts w:ascii="Arial" w:hAnsi="Arial" w:cs="Arial"/>
                              </w:rPr>
                              <w:t>SI</w:t>
                            </w:r>
                          </w:p>
                        </w:txbxContent>
                      </v:textbox>
                    </v:rect>
                  </w:pict>
                </mc:Fallback>
              </mc:AlternateContent>
            </w:r>
          </w:p>
          <w:p w14:paraId="1575A2D8" w14:textId="6AA5BB6A" w:rsidR="00FC6455" w:rsidRPr="00222D4A" w:rsidRDefault="00846058" w:rsidP="00D3169D">
            <w:pPr>
              <w:rPr>
                <w:rFonts w:ascii="Arial" w:hAnsi="Arial" w:cs="Arial"/>
              </w:rPr>
            </w:pPr>
            <w:r>
              <w:rPr>
                <w:rFonts w:ascii="Arial" w:hAnsi="Arial" w:cs="Arial"/>
              </w:rPr>
              <w:t xml:space="preserve">                           x</w:t>
            </w: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w:lastRenderedPageBreak/>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7313D0F6" w:rsidR="006B0B8B" w:rsidRPr="00846058" w:rsidRDefault="00846058" w:rsidP="006B0B8B">
                                  <w:pPr>
                                    <w:jc w:val="center"/>
                                    <w:rPr>
                                      <w:rFonts w:ascii="Arial" w:hAnsi="Arial" w:cs="Arial"/>
                                      <w:lang w:val="es-MX"/>
                                    </w:rPr>
                                  </w:pPr>
                                  <w:r>
                                    <w:rPr>
                                      <w:rFonts w:ascii="Arial" w:hAnsi="Arial" w:cs="Arial"/>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7313D0F6" w:rsidR="006B0B8B" w:rsidRPr="00846058" w:rsidRDefault="00846058" w:rsidP="006B0B8B">
                            <w:pPr>
                              <w:jc w:val="center"/>
                              <w:rPr>
                                <w:rFonts w:ascii="Arial" w:hAnsi="Arial" w:cs="Arial"/>
                                <w:lang w:val="es-MX"/>
                              </w:rPr>
                            </w:pPr>
                            <w:r>
                              <w:rPr>
                                <w:rFonts w:ascii="Arial" w:hAnsi="Arial" w:cs="Arial"/>
                                <w:lang w:val="es-MX"/>
                              </w:rPr>
                              <w:t>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551E476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D747D0" w:rsidRDefault="006B0B8B" w:rsidP="006B0B8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14:paraId="704C4EB9" w14:textId="77777777" w:rsidR="006B0B8B" w:rsidRPr="00D747D0" w:rsidRDefault="006B0B8B" w:rsidP="006B0B8B">
                            <w:pPr>
                              <w:jc w:val="center"/>
                              <w:rPr>
                                <w:rFonts w:ascii="Arial" w:hAnsi="Arial" w:cs="Arial"/>
                              </w:rPr>
                            </w:pPr>
                            <w:r w:rsidRPr="00D747D0">
                              <w:rPr>
                                <w:rFonts w:ascii="Arial" w:hAnsi="Arial" w:cs="Arial"/>
                              </w:rPr>
                              <w:t>SI</w:t>
                            </w:r>
                          </w:p>
                        </w:txbxContent>
                      </v:textbox>
                    </v:rect>
                  </w:pict>
                </mc:Fallback>
              </mc:AlternateContent>
            </w:r>
            <w:r w:rsidR="00846058">
              <w:rPr>
                <w:rFonts w:ascii="Arial" w:eastAsia="Calibri" w:hAnsi="Arial" w:cs="Arial"/>
                <w:b/>
                <w:lang w:val="es-MX"/>
              </w:rPr>
              <w:t xml:space="preserve">                        x</w: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D747D0" w:rsidRDefault="004D5B4F" w:rsidP="004D5B4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14:paraId="771B29FA" w14:textId="77777777" w:rsidR="004D5B4F" w:rsidRPr="00D747D0" w:rsidRDefault="004D5B4F" w:rsidP="004D5B4F">
                            <w:pPr>
                              <w:jc w:val="center"/>
                              <w:rPr>
                                <w:rFonts w:ascii="Arial" w:hAnsi="Arial" w:cs="Arial"/>
                              </w:rPr>
                            </w:pPr>
                            <w:r w:rsidRPr="00D747D0">
                              <w:rPr>
                                <w:rFonts w:ascii="Arial" w:hAnsi="Arial" w:cs="Arial"/>
                              </w:rPr>
                              <w:t>SI</w:t>
                            </w:r>
                          </w:p>
                        </w:txbxContent>
                      </v:textbox>
                    </v:rect>
                  </w:pict>
                </mc:Fallback>
              </mc:AlternateContent>
            </w:r>
          </w:p>
          <w:p w14:paraId="5AD5BFF9" w14:textId="07754F55" w:rsidR="00AF6488" w:rsidRDefault="00846058" w:rsidP="00AF6488">
            <w:pPr>
              <w:pStyle w:val="Sinespaciado"/>
              <w:jc w:val="both"/>
              <w:rPr>
                <w:rFonts w:ascii="Arial" w:eastAsia="Calibri" w:hAnsi="Arial" w:cs="Arial"/>
                <w:b/>
                <w:lang w:val="es-MX"/>
              </w:rPr>
            </w:pPr>
            <w:r>
              <w:rPr>
                <w:rFonts w:ascii="Arial" w:eastAsia="Calibri" w:hAnsi="Arial" w:cs="Arial"/>
                <w:b/>
                <w:lang w:val="es-MX"/>
              </w:rPr>
              <w:t xml:space="preserve">                          x</w:t>
            </w: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1FC83E5B" w:rsidR="009D0988" w:rsidRPr="00222D4A" w:rsidRDefault="009D0988"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D747D0" w:rsidRDefault="009D0988" w:rsidP="009D0988">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14:paraId="77237FCE" w14:textId="77777777" w:rsidR="009D0988" w:rsidRPr="00D747D0" w:rsidRDefault="009D0988" w:rsidP="009D0988">
                            <w:pPr>
                              <w:jc w:val="center"/>
                              <w:rPr>
                                <w:rFonts w:ascii="Arial" w:hAnsi="Arial" w:cs="Arial"/>
                              </w:rPr>
                            </w:pPr>
                            <w:r w:rsidRPr="00D747D0">
                              <w:rPr>
                                <w:rFonts w:ascii="Arial" w:hAnsi="Arial" w:cs="Arial"/>
                              </w:rPr>
                              <w:t>SI</w:t>
                            </w:r>
                          </w:p>
                        </w:txbxContent>
                      </v:textbox>
                    </v:rect>
                  </w:pict>
                </mc:Fallback>
              </mc:AlternateContent>
            </w:r>
          </w:p>
          <w:p w14:paraId="2D0F8883" w14:textId="467059C1" w:rsidR="009D0988" w:rsidRDefault="00846058" w:rsidP="00AF6488">
            <w:pPr>
              <w:pStyle w:val="Sinespaciado"/>
              <w:jc w:val="both"/>
              <w:rPr>
                <w:rFonts w:ascii="Arial" w:eastAsia="Calibri" w:hAnsi="Arial" w:cs="Arial"/>
                <w:lang w:val="es-MX"/>
              </w:rPr>
            </w:pPr>
            <w:r>
              <w:rPr>
                <w:rFonts w:ascii="Arial" w:eastAsia="Calibri" w:hAnsi="Arial" w:cs="Arial"/>
                <w:lang w:val="es-MX"/>
              </w:rPr>
              <w:t xml:space="preserve">                          x</w:t>
            </w: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2EE786F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1" locked="0" layoutInCell="1" allowOverlap="1" wp14:anchorId="6E684092" wp14:editId="4E586D55">
                      <wp:simplePos x="0" y="0"/>
                      <wp:positionH relativeFrom="column">
                        <wp:posOffset>3620135</wp:posOffset>
                      </wp:positionH>
                      <wp:positionV relativeFrom="paragraph">
                        <wp:posOffset>161925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C1DA7" id="Rectángulo 21" o:spid="_x0000_s1026" style="position:absolute;margin-left:285.05pt;margin-top:12.75pt;width:19.7pt;height:14.2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r w:rsidR="00846058">
              <w:rPr>
                <w:rFonts w:ascii="Arial" w:eastAsia="Calibri" w:hAnsi="Arial" w:cs="Arial"/>
                <w:lang w:val="es-MX"/>
              </w:rPr>
              <w:t xml:space="preserve">                     x     Por correo electrónico</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0C56F335"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D747D0" w:rsidRDefault="00D72434" w:rsidP="00D7243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4"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C6bjU9fAIAADIFAAAO&#10;AAAAAAAAAAAAAAAAAC4CAABkcnMvZTJvRG9jLnhtbFBLAQItABQABgAIAAAAIQB/vN2d2wAAAAcB&#10;AAAPAAAAAAAAAAAAAAAAANYEAABkcnMvZG93bnJldi54bWxQSwUGAAAAAAQABADzAAAA3gUAAAAA&#10;" fillcolor="white [3201]" strokecolor="#70ad47 [3209]" strokeweight="1pt">
                      <v:textbox>
                        <w:txbxContent>
                          <w:p w14:paraId="7EF35D34" w14:textId="77777777" w:rsidR="00D72434" w:rsidRPr="00D747D0" w:rsidRDefault="00D72434" w:rsidP="00D72434">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FE4E"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r w:rsidR="00846058">
              <w:rPr>
                <w:rFonts w:ascii="Arial" w:eastAsia="Calibri" w:hAnsi="Arial" w:cs="Arial"/>
                <w:lang w:val="es-MX"/>
              </w:rPr>
              <w:t xml:space="preserve">                      x</w: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lastRenderedPageBreak/>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lastRenderedPageBreak/>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340028A6"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r w:rsidR="00846058">
              <w:rPr>
                <w:rFonts w:ascii="Arial" w:eastAsia="Calibri" w:hAnsi="Arial" w:cs="Arial"/>
                <w:lang w:val="es-MX"/>
              </w:rPr>
              <w:t xml:space="preserve"> Suspensivo</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4036"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1" locked="0" layoutInCell="1" allowOverlap="1" wp14:anchorId="3184865C" wp14:editId="3C71E06F">
                <wp:simplePos x="0" y="0"/>
                <wp:positionH relativeFrom="column">
                  <wp:posOffset>4046220</wp:posOffset>
                </wp:positionH>
                <wp:positionV relativeFrom="paragraph">
                  <wp:posOffset>154305</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7" style="position:absolute;left:0;text-align:left;margin-left:318.6pt;margin-top:12.15pt;width:28.9pt;height:18.1pt;flip:x;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" fillcolor="white [3201]" strokecolor="#70ad47 [3209]" strokeweight="1pt">
                <v:textbox>
                  <w:txbxContent>
                    <w:p w14:paraId="47C6BD95" w14:textId="77777777" w:rsidR="00555C3C" w:rsidRPr="00D747D0" w:rsidRDefault="00555C3C" w:rsidP="00555C3C">
                      <w:pPr>
                        <w:jc w:val="center"/>
                        <w:rPr>
                          <w:rFonts w:ascii="Arial" w:hAnsi="Arial" w:cs="Arial"/>
                        </w:rPr>
                      </w:pPr>
                    </w:p>
                  </w:txbxContent>
                </v:textbox>
              </v:rect>
            </w:pict>
          </mc:Fallback>
        </mc:AlternateContent>
      </w:r>
    </w:p>
    <w:p w14:paraId="02072142" w14:textId="4B84B332"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r w:rsidR="00846058">
        <w:rPr>
          <w:rFonts w:ascii="Arial" w:eastAsia="Calibri" w:hAnsi="Arial" w:cs="Arial"/>
          <w:lang w:val="es-MX"/>
        </w:rPr>
        <w:t xml:space="preserve">                                                                                       x</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05A7"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4F2E"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2F99"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29863372" w14:textId="77777777" w:rsidR="00555C3C" w:rsidRDefault="00555C3C" w:rsidP="00846058">
      <w:pPr>
        <w:pStyle w:val="Sinespaciado"/>
        <w:jc w:val="both"/>
        <w:rPr>
          <w:rFonts w:ascii="Arial" w:eastAsia="Calibri" w:hAnsi="Arial" w:cs="Arial"/>
          <w:b/>
          <w:lang w:val="es-MX"/>
        </w:rPr>
      </w:pPr>
    </w:p>
    <w:p w14:paraId="1C70543D" w14:textId="327194D0" w:rsidR="00555C3C" w:rsidRDefault="00555C3C" w:rsidP="00846058">
      <w:pPr>
        <w:pStyle w:val="Sinespaciado"/>
        <w:ind w:left="-993" w:right="-799"/>
        <w:jc w:val="both"/>
        <w:rPr>
          <w:rFonts w:ascii="Arial" w:eastAsia="Calibri" w:hAnsi="Arial" w:cs="Arial"/>
          <w:b/>
          <w:lang w:val="es-MX"/>
        </w:rPr>
      </w:pPr>
      <w:r>
        <w:rPr>
          <w:rFonts w:ascii="Arial" w:eastAsia="Calibri" w:hAnsi="Arial" w:cs="Arial"/>
          <w:b/>
          <w:lang w:val="es-MX"/>
        </w:rPr>
        <w:t>_</w:t>
      </w:r>
      <w:r w:rsidR="00846058">
        <w:rPr>
          <w:rFonts w:ascii="Arial" w:eastAsia="Calibri" w:hAnsi="Arial" w:cs="Arial"/>
          <w:b/>
          <w:lang w:val="es-MX"/>
        </w:rPr>
        <w:t xml:space="preserve">En el caso como el analizado, el Ministerio Público conceptuó para que se desestimaran los argumentos de la impugnación, toda vez que no se haya probada ninguna de las circunstancias descritas por la letrada de la entidad demandante, para que se revoque el fallo de primera instancia, en tanto se verificó que no se cuenta con los elementos que permitan establecer responsabilidad alguna a las demandadas en el medio de control de Repetición. </w:t>
      </w:r>
    </w:p>
    <w:p w14:paraId="1C5C6800" w14:textId="77777777" w:rsidR="003510A1" w:rsidRDefault="003510A1" w:rsidP="00846058">
      <w:pPr>
        <w:pStyle w:val="Sinespaciado"/>
        <w:ind w:right="-799"/>
        <w:jc w:val="both"/>
        <w:rPr>
          <w:rFonts w:ascii="Arial" w:eastAsia="Calibri" w:hAnsi="Arial" w:cs="Arial"/>
          <w:lang w:val="es-MX"/>
        </w:rPr>
      </w:pPr>
      <w:r w:rsidRPr="003510A1">
        <w:rPr>
          <w:rFonts w:ascii="Arial" w:eastAsia="Calibri" w:hAnsi="Arial" w:cs="Arial"/>
          <w:b/>
          <w:lang w:val="es-MX"/>
        </w:rPr>
        <w:t xml:space="preserve"> </w:t>
      </w: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D747D0" w:rsidRDefault="00AB0744" w:rsidP="00AB074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1"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TV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9zU9LSEeofT9dDRPjh+rbCvNyzEe+aR5zgK3N14h4fU0FQUeomSNfgf&#10;b70ne6QfailpcG8qGr5vmBeU6C8WiXk+mkzSouXL5OTjGC/+tWb5WmM35hJwJCP8JRzPYrKPei9K&#10;D+YZV3yRoqKKWY6xK8qj318uY7fP+ElwsVhkM1wux+KNfXR8z8vEm6f2mXnXkysiK29hv2NsesCx&#10;zjaNyMJiE0GqTMCXvvYjwMXMFO4/kbT5r+/Z6uWrm/8G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CFX01X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77777777" w:rsidR="00AB0744" w:rsidRPr="00D747D0" w:rsidRDefault="00AB0744" w:rsidP="00AB0744">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F8A4"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43450A64" w:rsidR="00AB0744" w:rsidRDefault="00846058" w:rsidP="00AB0744">
            <w:pPr>
              <w:pStyle w:val="Sinespaciado"/>
              <w:rPr>
                <w:rFonts w:ascii="Arial" w:eastAsia="Calibri" w:hAnsi="Arial" w:cs="Arial"/>
                <w:lang w:val="es-MX"/>
              </w:rPr>
            </w:pPr>
            <w:r>
              <w:rPr>
                <w:rFonts w:ascii="Arial" w:eastAsia="Calibri" w:hAnsi="Arial" w:cs="Arial"/>
                <w:lang w:val="es-MX"/>
              </w:rPr>
              <w:t xml:space="preserve">                     X                       Por el Magistrado de la Sección que conoció en asunto</w:t>
            </w: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17694A00" w14:textId="77777777" w:rsidR="00846058" w:rsidRPr="008505E3" w:rsidRDefault="00846058" w:rsidP="00846058">
            <w:pPr>
              <w:spacing w:before="100" w:beforeAutospacing="1" w:after="100" w:afterAutospacing="1"/>
              <w:jc w:val="both"/>
              <w:rPr>
                <w:rStyle w:val="FontStyle47"/>
                <w:rFonts w:ascii="Arial" w:eastAsiaTheme="minorHAnsi" w:hAnsi="Arial" w:cs="Arial"/>
                <w:sz w:val="20"/>
                <w:szCs w:val="20"/>
                <w:lang w:val="es-ES_tradnl" w:eastAsia="es-ES_tradnl"/>
              </w:rPr>
            </w:pPr>
            <w:r w:rsidRPr="008505E3">
              <w:rPr>
                <w:rStyle w:val="FontStyle47"/>
                <w:rFonts w:ascii="Arial" w:hAnsi="Arial" w:cs="Arial"/>
                <w:sz w:val="20"/>
                <w:szCs w:val="20"/>
                <w:lang w:val="es-ES_tradnl" w:eastAsia="es-ES_tradnl"/>
              </w:rPr>
              <w:t>El Juez Sesenta y Cuatro Administrativo Oral del Circuito Judicial de Bogotá, en sentencia del 21 de julio de 2020, negó las pretensiones de la demanda, por considerar que no existió prueba en la que se demostrar que la conducta desplegada por las demandadas estuviera incursa en los supuestos de dolo o culpa grave para viabilizar la pretensión de repetición.</w:t>
            </w:r>
          </w:p>
          <w:p w14:paraId="3D48AF07" w14:textId="77777777" w:rsidR="00846058" w:rsidRPr="008505E3" w:rsidRDefault="00846058" w:rsidP="00846058">
            <w:pPr>
              <w:spacing w:before="100" w:beforeAutospacing="1" w:after="100" w:afterAutospacing="1"/>
              <w:jc w:val="both"/>
              <w:rPr>
                <w:rStyle w:val="FontStyle47"/>
                <w:rFonts w:ascii="Arial" w:hAnsi="Arial" w:cs="Arial"/>
                <w:sz w:val="20"/>
                <w:szCs w:val="20"/>
                <w:lang w:val="es-ES_tradnl" w:eastAsia="es-ES_tradnl"/>
              </w:rPr>
            </w:pPr>
            <w:r w:rsidRPr="008505E3">
              <w:rPr>
                <w:rStyle w:val="FontStyle47"/>
                <w:rFonts w:ascii="Arial" w:hAnsi="Arial" w:cs="Arial"/>
                <w:sz w:val="20"/>
                <w:szCs w:val="20"/>
                <w:lang w:val="es-ES_tradnl" w:eastAsia="es-ES_tradnl"/>
              </w:rPr>
              <w:t xml:space="preserve">Sobre el particular, el juzgado de instancia precisa que no obra evidencia que permitiera establecer la omisión de funciones o que su conducta pudiera desencadenar en el daño por el cual fue condenada la Universidad Nacional de Colombia – </w:t>
            </w:r>
            <w:proofErr w:type="spellStart"/>
            <w:r w:rsidRPr="008505E3">
              <w:rPr>
                <w:rStyle w:val="FontStyle47"/>
                <w:rFonts w:ascii="Arial" w:hAnsi="Arial" w:cs="Arial"/>
                <w:sz w:val="20"/>
                <w:szCs w:val="20"/>
                <w:lang w:val="es-ES_tradnl" w:eastAsia="es-ES_tradnl"/>
              </w:rPr>
              <w:t>Unisalud</w:t>
            </w:r>
            <w:proofErr w:type="spellEnd"/>
            <w:r w:rsidRPr="008505E3">
              <w:rPr>
                <w:rStyle w:val="FontStyle47"/>
                <w:rFonts w:ascii="Arial" w:hAnsi="Arial" w:cs="Arial"/>
                <w:sz w:val="20"/>
                <w:szCs w:val="20"/>
                <w:lang w:val="es-ES_tradnl" w:eastAsia="es-ES_tradnl"/>
              </w:rPr>
              <w:t xml:space="preserve">-; situaciones que conllevaran a tener plenamente la certeza de la comisión de las conductas delineadas por la jurisprudencia para la viabilidad del ejercicio de la acción de repetición. Refiere además que las conductas endilgadas a las demandadas pudieron ser a causa de la falta de cuidado de un tercero. </w:t>
            </w:r>
          </w:p>
          <w:p w14:paraId="286F6EE5" w14:textId="77777777" w:rsidR="00846058" w:rsidRPr="008505E3" w:rsidRDefault="00846058" w:rsidP="00846058">
            <w:pPr>
              <w:spacing w:before="100" w:beforeAutospacing="1" w:after="100" w:afterAutospacing="1"/>
              <w:jc w:val="both"/>
              <w:rPr>
                <w:rStyle w:val="FontStyle47"/>
                <w:rFonts w:ascii="Arial" w:hAnsi="Arial" w:cs="Arial"/>
                <w:sz w:val="20"/>
                <w:szCs w:val="20"/>
                <w:lang w:val="es-ES_tradnl" w:eastAsia="es-ES_tradnl"/>
              </w:rPr>
            </w:pPr>
            <w:r w:rsidRPr="008505E3">
              <w:rPr>
                <w:rStyle w:val="FontStyle47"/>
                <w:rFonts w:ascii="Arial" w:hAnsi="Arial" w:cs="Arial"/>
                <w:sz w:val="20"/>
                <w:szCs w:val="20"/>
                <w:lang w:val="es-ES_tradnl" w:eastAsia="es-ES_tradnl"/>
              </w:rPr>
              <w:lastRenderedPageBreak/>
              <w:t xml:space="preserve">El juzgado de instancia, en su parte considerativa, argumenta que el problema jurídico debe ser planteado de manera negativa, por cuando las demandadas no deben responder por el detrimento patrimonial causado con ocasión al pago de la sentencia de reparación directa por el proceso No. 110013336031201300024000 y la conciliación judicial a que llegaron las partes y que fuera aprobada por el mismo estrado judicial mediante providencia de septiembre de 2015, lo cual conllevó a concluir que no le asistía razón a la Universidad Nacional de Colombia, al no demostrar la existencia de una conducta dolosa o gravemente dolosa por parte de las demandadas frente a la dicha condena. </w:t>
            </w:r>
          </w:p>
          <w:p w14:paraId="68930CFE" w14:textId="2C2B625D" w:rsidR="000C3F52" w:rsidRPr="0089477F" w:rsidRDefault="000C3F52" w:rsidP="004D1C60">
            <w:pPr>
              <w:pStyle w:val="Sinespaciado"/>
              <w:jc w:val="both"/>
              <w:rPr>
                <w:rFonts w:ascii="Arial" w:eastAsia="Calibri" w:hAnsi="Arial" w:cs="Arial"/>
                <w:lang w:val="es-MX"/>
              </w:rPr>
            </w:pP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lastRenderedPageBreak/>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4ECBFAF3"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026726AE" w14:textId="4A4391FD" w:rsidR="008505E3" w:rsidRPr="008505E3" w:rsidRDefault="008505E3" w:rsidP="008D2353">
            <w:pPr>
              <w:pStyle w:val="Sinespaciado"/>
              <w:jc w:val="both"/>
              <w:rPr>
                <w:rFonts w:ascii="Arial" w:eastAsia="Calibri" w:hAnsi="Arial" w:cs="Arial"/>
                <w:sz w:val="20"/>
                <w:szCs w:val="20"/>
              </w:rPr>
            </w:pPr>
          </w:p>
          <w:p w14:paraId="1D447A45" w14:textId="65C62FB0" w:rsidR="008505E3" w:rsidRPr="008505E3" w:rsidRDefault="008505E3" w:rsidP="008505E3">
            <w:pPr>
              <w:pStyle w:val="Sinespaciado"/>
              <w:numPr>
                <w:ilvl w:val="0"/>
                <w:numId w:val="2"/>
              </w:numPr>
              <w:jc w:val="both"/>
              <w:rPr>
                <w:rFonts w:ascii="Arial" w:eastAsia="Calibri" w:hAnsi="Arial" w:cs="Arial"/>
                <w:sz w:val="20"/>
                <w:szCs w:val="20"/>
              </w:rPr>
            </w:pPr>
            <w:r w:rsidRPr="008505E3">
              <w:rPr>
                <w:rFonts w:ascii="Arial" w:eastAsia="Calibri" w:hAnsi="Arial" w:cs="Arial"/>
                <w:sz w:val="20"/>
                <w:szCs w:val="20"/>
              </w:rPr>
              <w:t>No se haya probada la responsabilidad</w:t>
            </w:r>
          </w:p>
          <w:p w14:paraId="7F206E7E" w14:textId="1817BB09" w:rsidR="008505E3" w:rsidRPr="008505E3" w:rsidRDefault="008505E3" w:rsidP="008505E3">
            <w:pPr>
              <w:pStyle w:val="Sinespaciado"/>
              <w:numPr>
                <w:ilvl w:val="0"/>
                <w:numId w:val="2"/>
              </w:numPr>
              <w:jc w:val="both"/>
              <w:rPr>
                <w:rFonts w:ascii="Arial" w:eastAsia="Calibri" w:hAnsi="Arial" w:cs="Arial"/>
                <w:sz w:val="20"/>
                <w:szCs w:val="20"/>
              </w:rPr>
            </w:pPr>
            <w:r w:rsidRPr="008505E3">
              <w:rPr>
                <w:rFonts w:ascii="Arial" w:eastAsia="Calibri" w:hAnsi="Arial" w:cs="Arial"/>
                <w:sz w:val="20"/>
                <w:szCs w:val="20"/>
              </w:rPr>
              <w:t xml:space="preserve">Carencia de objeto, existencia de una conciliación </w:t>
            </w:r>
          </w:p>
          <w:p w14:paraId="616EFA79" w14:textId="12A05047" w:rsidR="008505E3" w:rsidRPr="008505E3" w:rsidRDefault="008505E3" w:rsidP="008505E3">
            <w:pPr>
              <w:pStyle w:val="Sinespaciado"/>
              <w:numPr>
                <w:ilvl w:val="0"/>
                <w:numId w:val="2"/>
              </w:numPr>
              <w:jc w:val="both"/>
              <w:rPr>
                <w:rFonts w:ascii="Arial" w:eastAsia="Calibri" w:hAnsi="Arial" w:cs="Arial"/>
                <w:sz w:val="20"/>
                <w:szCs w:val="20"/>
              </w:rPr>
            </w:pPr>
            <w:r w:rsidRPr="008505E3">
              <w:rPr>
                <w:rFonts w:ascii="Arial" w:eastAsia="Calibri" w:hAnsi="Arial" w:cs="Arial"/>
                <w:sz w:val="20"/>
                <w:szCs w:val="20"/>
              </w:rPr>
              <w:t>No hay demostración del dolo</w:t>
            </w:r>
          </w:p>
          <w:p w14:paraId="0451EE8B" w14:textId="6A0A1504" w:rsidR="00846058" w:rsidRPr="008505E3" w:rsidRDefault="00846058" w:rsidP="00846058">
            <w:pPr>
              <w:spacing w:before="100" w:beforeAutospacing="1" w:after="100" w:afterAutospacing="1"/>
              <w:jc w:val="both"/>
              <w:rPr>
                <w:rFonts w:ascii="Arial" w:eastAsiaTheme="minorHAnsi" w:hAnsi="Arial" w:cs="Arial"/>
                <w:bCs/>
                <w:color w:val="000000"/>
                <w:sz w:val="20"/>
                <w:szCs w:val="20"/>
              </w:rPr>
            </w:pPr>
            <w:r w:rsidRPr="008505E3">
              <w:rPr>
                <w:rFonts w:ascii="Arial" w:hAnsi="Arial" w:cs="Arial"/>
                <w:bCs/>
                <w:color w:val="000000"/>
                <w:sz w:val="20"/>
                <w:szCs w:val="20"/>
              </w:rPr>
              <w:t xml:space="preserve">Del análisis de la </w:t>
            </w:r>
            <w:r w:rsidRPr="008505E3">
              <w:rPr>
                <w:rFonts w:ascii="Arial" w:hAnsi="Arial" w:cs="Arial"/>
                <w:bCs/>
                <w:color w:val="000000"/>
                <w:sz w:val="20"/>
                <w:szCs w:val="20"/>
              </w:rPr>
              <w:t>demanda</w:t>
            </w:r>
            <w:r w:rsidRPr="008505E3">
              <w:rPr>
                <w:rFonts w:ascii="Arial" w:hAnsi="Arial" w:cs="Arial"/>
                <w:bCs/>
                <w:color w:val="000000"/>
                <w:sz w:val="20"/>
                <w:szCs w:val="20"/>
              </w:rPr>
              <w:t>, la acción de repetición tendría vocación de prosperar si el factor de subjetividad, entendido como la intención del agente del Estado de causar un daño consciente o no, que genera un perjuicio para las arcas públicas por acción u omisión no se cumple. En efecto, dentro del proceso disciplinario adelantado por la IES</w:t>
            </w:r>
            <w:r w:rsidRPr="008505E3">
              <w:rPr>
                <w:rStyle w:val="Refernciadenotaapeudepgina"/>
                <w:rFonts w:ascii="Arial" w:hAnsi="Arial" w:cs="Arial"/>
                <w:bCs/>
                <w:color w:val="000000"/>
                <w:sz w:val="20"/>
                <w:szCs w:val="20"/>
              </w:rPr>
              <w:footnoteReference w:id="1"/>
            </w:r>
            <w:r w:rsidRPr="008505E3">
              <w:rPr>
                <w:rFonts w:ascii="Arial" w:hAnsi="Arial" w:cs="Arial"/>
                <w:bCs/>
                <w:color w:val="000000"/>
                <w:sz w:val="20"/>
                <w:szCs w:val="20"/>
              </w:rPr>
              <w:t xml:space="preserve"> demandante no se logró demostrar que las demandadas en </w:t>
            </w:r>
            <w:r w:rsidRPr="008505E3">
              <w:rPr>
                <w:rFonts w:ascii="Arial" w:hAnsi="Arial" w:cs="Arial"/>
                <w:bCs/>
                <w:color w:val="000000"/>
                <w:sz w:val="20"/>
                <w:szCs w:val="20"/>
              </w:rPr>
              <w:t>repetición</w:t>
            </w:r>
            <w:r w:rsidRPr="008505E3">
              <w:rPr>
                <w:rFonts w:ascii="Arial" w:hAnsi="Arial" w:cs="Arial"/>
                <w:bCs/>
                <w:color w:val="000000"/>
                <w:sz w:val="20"/>
                <w:szCs w:val="20"/>
              </w:rPr>
              <w:t xml:space="preserve"> cometieron las conductas endilgadas, toda vez que su labor era de medio y no de resultado, pues si bien, se incluye dentro de los argumentos de la demanda una descripción de las funciones del cargo que ostentaron las encartadas para el momento de los hechos, ello no constituye argumento válido para determinar el grado de responsabilidad. </w:t>
            </w:r>
          </w:p>
          <w:p w14:paraId="393C00D6" w14:textId="072C6FDC" w:rsidR="008D2353" w:rsidRPr="00221FCD" w:rsidRDefault="008505E3" w:rsidP="008505E3">
            <w:pPr>
              <w:spacing w:before="100" w:beforeAutospacing="1" w:after="100" w:afterAutospacing="1"/>
              <w:jc w:val="both"/>
              <w:rPr>
                <w:rFonts w:ascii="Arial" w:eastAsia="Calibri" w:hAnsi="Arial" w:cs="Arial"/>
                <w:b/>
                <w:lang w:val="es-MX"/>
              </w:rPr>
            </w:pPr>
            <w:r w:rsidRPr="008505E3">
              <w:rPr>
                <w:rFonts w:ascii="Arial" w:hAnsi="Arial" w:cs="Arial"/>
                <w:bCs/>
                <w:color w:val="000000" w:themeColor="text1"/>
                <w:sz w:val="20"/>
                <w:szCs w:val="20"/>
              </w:rPr>
              <w:t>En efecto, no es palmario el grado de responsabilidad endilgado a las convocadas, lo cierto es que, a través de la contratación de una labor como es la consolidación y administración de las bases de datos de una entidad de salud, es una labor que no recae estrictamente en uno o varios funcionarios sino que hace parte de procesos en los que tiene que estar involucrada la dirección, en este caso, de UNISALUD, pues es la Junta Directiva o la Gerencia las instancias encargadas de aprobar los presupuestos para la realización de las funciones que le son propias a la entidad, suscribir contratos, pólizas entre otras, para la prestación del servicio y administración de los recursos financieros que sean requeridos.</w:t>
            </w:r>
            <w:r>
              <w:rPr>
                <w:rFonts w:ascii="Arial" w:hAnsi="Arial" w:cs="Arial"/>
                <w:bCs/>
                <w:color w:val="000000" w:themeColor="text1"/>
              </w:rPr>
              <w:t xml:space="preserve"> </w:t>
            </w: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527BE6CA"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1" locked="0" layoutInCell="1" allowOverlap="1" wp14:anchorId="6A43D485" wp14:editId="2C571EA3">
                <wp:simplePos x="0" y="0"/>
                <wp:positionH relativeFrom="column">
                  <wp:posOffset>4030980</wp:posOffset>
                </wp:positionH>
                <wp:positionV relativeFrom="paragraph">
                  <wp:posOffset>3810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3" style="position:absolute;left:0;text-align:left;margin-left:317.4pt;margin-top:.3pt;width:30.6pt;height:18.15pt;flip:x;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" fillcolor="white [3201]" strokecolor="#70ad47 [3209]" strokeweight="1pt">
                <v:textbox>
                  <w:txbxContent>
                    <w:p w14:paraId="11690C6D" w14:textId="77777777" w:rsidR="005E0C3D" w:rsidRPr="00D747D0" w:rsidRDefault="005E0C3D" w:rsidP="005E0C3D">
                      <w:pPr>
                        <w:jc w:val="center"/>
                        <w:rPr>
                          <w:rFonts w:ascii="Arial" w:hAnsi="Arial" w:cs="Arial"/>
                        </w:rPr>
                      </w:pP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r w:rsidR="00846058">
        <w:rPr>
          <w:rFonts w:ascii="Arial" w:eastAsia="Calibri" w:hAnsi="Arial" w:cs="Arial"/>
          <w:lang w:val="es-MX"/>
        </w:rPr>
        <w:t xml:space="preserve">                                                                         x             </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32C9"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926A"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14:paraId="521FF32A" w14:textId="77777777"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120A" w14:textId="77777777" w:rsidR="00004D29" w:rsidRDefault="00004D29" w:rsidP="00953CAF">
      <w:pPr>
        <w:spacing w:after="0" w:line="240" w:lineRule="auto"/>
      </w:pPr>
      <w:r>
        <w:separator/>
      </w:r>
    </w:p>
  </w:endnote>
  <w:endnote w:type="continuationSeparator" w:id="0">
    <w:p w14:paraId="35329106" w14:textId="77777777" w:rsidR="00004D29" w:rsidRDefault="00004D29"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004D2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004D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E5E2" w14:textId="77777777" w:rsidR="00004D29" w:rsidRDefault="00004D29" w:rsidP="00953CAF">
      <w:pPr>
        <w:spacing w:after="0" w:line="240" w:lineRule="auto"/>
      </w:pPr>
      <w:r>
        <w:separator/>
      </w:r>
    </w:p>
  </w:footnote>
  <w:footnote w:type="continuationSeparator" w:id="0">
    <w:p w14:paraId="4C14B8E3" w14:textId="77777777" w:rsidR="00004D29" w:rsidRDefault="00004D29" w:rsidP="00953CAF">
      <w:pPr>
        <w:spacing w:after="0" w:line="240" w:lineRule="auto"/>
      </w:pPr>
      <w:r>
        <w:continuationSeparator/>
      </w:r>
    </w:p>
  </w:footnote>
  <w:footnote w:id="1">
    <w:p w14:paraId="56390756" w14:textId="77777777" w:rsidR="00846058" w:rsidRDefault="00846058" w:rsidP="00846058">
      <w:pPr>
        <w:pStyle w:val="Textdenotaapeudepgina"/>
      </w:pPr>
      <w:r>
        <w:rPr>
          <w:rStyle w:val="Refernciadenotaapeudepgina"/>
        </w:rPr>
        <w:footnoteRef/>
      </w:r>
      <w:r>
        <w:t xml:space="preserve"> Institución de Educación Superior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04D29"/>
    <w:rsid w:val="00052A62"/>
    <w:rsid w:val="0007115A"/>
    <w:rsid w:val="00076516"/>
    <w:rsid w:val="000A4983"/>
    <w:rsid w:val="000B568F"/>
    <w:rsid w:val="000C3F52"/>
    <w:rsid w:val="0014662B"/>
    <w:rsid w:val="001516A4"/>
    <w:rsid w:val="001535AA"/>
    <w:rsid w:val="00155DC0"/>
    <w:rsid w:val="00165807"/>
    <w:rsid w:val="001B172E"/>
    <w:rsid w:val="00203189"/>
    <w:rsid w:val="00221FCD"/>
    <w:rsid w:val="002602D3"/>
    <w:rsid w:val="002668B6"/>
    <w:rsid w:val="002A38A5"/>
    <w:rsid w:val="002C368F"/>
    <w:rsid w:val="0032002C"/>
    <w:rsid w:val="0032583C"/>
    <w:rsid w:val="00336F8A"/>
    <w:rsid w:val="003510A1"/>
    <w:rsid w:val="00352D61"/>
    <w:rsid w:val="00360017"/>
    <w:rsid w:val="00372411"/>
    <w:rsid w:val="00375F65"/>
    <w:rsid w:val="00380CBD"/>
    <w:rsid w:val="00387D86"/>
    <w:rsid w:val="0039737B"/>
    <w:rsid w:val="003A4DF6"/>
    <w:rsid w:val="003B7D4F"/>
    <w:rsid w:val="003C1DA9"/>
    <w:rsid w:val="003E03F4"/>
    <w:rsid w:val="003F6E9D"/>
    <w:rsid w:val="00456302"/>
    <w:rsid w:val="004A7F35"/>
    <w:rsid w:val="004D1C60"/>
    <w:rsid w:val="004D5B4F"/>
    <w:rsid w:val="00516417"/>
    <w:rsid w:val="0053090D"/>
    <w:rsid w:val="00555C3C"/>
    <w:rsid w:val="0059118D"/>
    <w:rsid w:val="005B0C23"/>
    <w:rsid w:val="005D674F"/>
    <w:rsid w:val="005E0C3D"/>
    <w:rsid w:val="005F5CBC"/>
    <w:rsid w:val="0062583F"/>
    <w:rsid w:val="00635E6B"/>
    <w:rsid w:val="00642178"/>
    <w:rsid w:val="0066712A"/>
    <w:rsid w:val="00684A61"/>
    <w:rsid w:val="006B0B8B"/>
    <w:rsid w:val="006C0050"/>
    <w:rsid w:val="00716339"/>
    <w:rsid w:val="00746DD9"/>
    <w:rsid w:val="0077268F"/>
    <w:rsid w:val="007C049F"/>
    <w:rsid w:val="007C0C68"/>
    <w:rsid w:val="007F3BE0"/>
    <w:rsid w:val="0080797E"/>
    <w:rsid w:val="0082060A"/>
    <w:rsid w:val="00846058"/>
    <w:rsid w:val="008505E3"/>
    <w:rsid w:val="008571BD"/>
    <w:rsid w:val="00872FE0"/>
    <w:rsid w:val="0089477F"/>
    <w:rsid w:val="00896E63"/>
    <w:rsid w:val="00897346"/>
    <w:rsid w:val="00897950"/>
    <w:rsid w:val="008D2353"/>
    <w:rsid w:val="008D66A4"/>
    <w:rsid w:val="0093093C"/>
    <w:rsid w:val="00953CAF"/>
    <w:rsid w:val="0096665C"/>
    <w:rsid w:val="009B3D2E"/>
    <w:rsid w:val="009D0988"/>
    <w:rsid w:val="00A03DEC"/>
    <w:rsid w:val="00A03F94"/>
    <w:rsid w:val="00A30B6D"/>
    <w:rsid w:val="00A52F3C"/>
    <w:rsid w:val="00A56241"/>
    <w:rsid w:val="00A613D7"/>
    <w:rsid w:val="00A622BC"/>
    <w:rsid w:val="00AB0744"/>
    <w:rsid w:val="00AB3D00"/>
    <w:rsid w:val="00AF6488"/>
    <w:rsid w:val="00B14B08"/>
    <w:rsid w:val="00B51006"/>
    <w:rsid w:val="00B535A4"/>
    <w:rsid w:val="00B90125"/>
    <w:rsid w:val="00C32002"/>
    <w:rsid w:val="00C3227D"/>
    <w:rsid w:val="00C635A4"/>
    <w:rsid w:val="00C836D2"/>
    <w:rsid w:val="00C94A4F"/>
    <w:rsid w:val="00CB4AEB"/>
    <w:rsid w:val="00CD7B6B"/>
    <w:rsid w:val="00D0076B"/>
    <w:rsid w:val="00D1022C"/>
    <w:rsid w:val="00D714A4"/>
    <w:rsid w:val="00D72434"/>
    <w:rsid w:val="00D82F0F"/>
    <w:rsid w:val="00D96956"/>
    <w:rsid w:val="00DB46C0"/>
    <w:rsid w:val="00DD644F"/>
    <w:rsid w:val="00DE6D09"/>
    <w:rsid w:val="00DF7DC9"/>
    <w:rsid w:val="00E0336A"/>
    <w:rsid w:val="00E12714"/>
    <w:rsid w:val="00E27AE3"/>
    <w:rsid w:val="00E73CA7"/>
    <w:rsid w:val="00E91A3B"/>
    <w:rsid w:val="00E95AC3"/>
    <w:rsid w:val="00EB56C6"/>
    <w:rsid w:val="00EB57B6"/>
    <w:rsid w:val="00EC3010"/>
    <w:rsid w:val="00EE4E3E"/>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 w:type="character" w:customStyle="1" w:styleId="FontStyle47">
    <w:name w:val="Font Style47"/>
    <w:basedOn w:val="Fuentedeprrafopredeter"/>
    <w:uiPriority w:val="99"/>
    <w:rsid w:val="00846058"/>
    <w:rPr>
      <w:rFonts w:ascii="Bookman Old Style" w:hAnsi="Bookman Old Style" w:cs="Bookman Old Style" w:hint="default"/>
      <w:sz w:val="18"/>
      <w:szCs w:val="18"/>
    </w:rPr>
  </w:style>
  <w:style w:type="character" w:customStyle="1" w:styleId="TextdenotaapeudepginaCar">
    <w:name w:val="Text de nota a peu de pàgina Car"/>
    <w:aliases w:val="Footnote Text Char Char Char Char Char Car,Footnote Text Char Char Char Char Car,Footnote reference Car,FA Fu Car,Footnote Text Cha Car,Footnote Text Char Char Char Car,FA Fu€notentext Car,Footnote Text Char Char Car"/>
    <w:basedOn w:val="Fuentedeprrafopredeter"/>
    <w:link w:val="Textdenotaapeudepgina"/>
    <w:locked/>
    <w:rsid w:val="00846058"/>
    <w:rPr>
      <w:sz w:val="20"/>
      <w:szCs w:val="20"/>
      <w:lang w:val="es-ES"/>
    </w:rPr>
  </w:style>
  <w:style w:type="paragraph" w:customStyle="1" w:styleId="Textdenotaapeudepgina">
    <w:name w:val="Text de nota a peu de pàgina"/>
    <w:aliases w:val="Footnote Text Char Char Char Char Char,Footnote Text Char Char Char Char,Footnote reference,FA Fu,Footnote Text Cha,Footnote Text Char Char Char,FA Fu€notentext,Footnote Text Char Char,texto de nota a,FA Fu?notente,ft"/>
    <w:basedOn w:val="Normal"/>
    <w:link w:val="TextdenotaapeudepginaCar"/>
    <w:qFormat/>
    <w:rsid w:val="00846058"/>
    <w:pPr>
      <w:spacing w:after="0" w:line="240" w:lineRule="auto"/>
    </w:pPr>
    <w:rPr>
      <w:rFonts w:eastAsiaTheme="minorHAnsi"/>
      <w:sz w:val="20"/>
      <w:szCs w:val="20"/>
      <w:lang w:val="es-ES" w:eastAsia="en-US"/>
    </w:rPr>
  </w:style>
  <w:style w:type="character" w:customStyle="1" w:styleId="Refernciadenotaapeudepgina">
    <w:name w:val="Referència de nota a peu de pàgina"/>
    <w:aliases w:val="Ref. de nota al pie 2,Texto de nota al pie,Appel note de bas de page,Footnotes refss,Footnote number,referencia nota al pie,BVI fnr,f,4_G,16 Point,Superscript 6 Point,Texto nota al pie,Pie de Página,FC,Nota de pie,F"/>
    <w:basedOn w:val="Fuentedeprrafopredeter"/>
    <w:qFormat/>
    <w:rsid w:val="00846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1821">
      <w:bodyDiv w:val="1"/>
      <w:marLeft w:val="0"/>
      <w:marRight w:val="0"/>
      <w:marTop w:val="0"/>
      <w:marBottom w:val="0"/>
      <w:divBdr>
        <w:top w:val="none" w:sz="0" w:space="0" w:color="auto"/>
        <w:left w:val="none" w:sz="0" w:space="0" w:color="auto"/>
        <w:bottom w:val="none" w:sz="0" w:space="0" w:color="auto"/>
        <w:right w:val="none" w:sz="0" w:space="0" w:color="auto"/>
      </w:divBdr>
    </w:div>
    <w:div w:id="592662097">
      <w:bodyDiv w:val="1"/>
      <w:marLeft w:val="0"/>
      <w:marRight w:val="0"/>
      <w:marTop w:val="0"/>
      <w:marBottom w:val="0"/>
      <w:divBdr>
        <w:top w:val="none" w:sz="0" w:space="0" w:color="auto"/>
        <w:left w:val="none" w:sz="0" w:space="0" w:color="auto"/>
        <w:bottom w:val="none" w:sz="0" w:space="0" w:color="auto"/>
        <w:right w:val="none" w:sz="0" w:space="0" w:color="auto"/>
      </w:divBdr>
    </w:div>
    <w:div w:id="663093286">
      <w:bodyDiv w:val="1"/>
      <w:marLeft w:val="0"/>
      <w:marRight w:val="0"/>
      <w:marTop w:val="0"/>
      <w:marBottom w:val="0"/>
      <w:divBdr>
        <w:top w:val="none" w:sz="0" w:space="0" w:color="auto"/>
        <w:left w:val="none" w:sz="0" w:space="0" w:color="auto"/>
        <w:bottom w:val="none" w:sz="0" w:space="0" w:color="auto"/>
        <w:right w:val="none" w:sz="0" w:space="0" w:color="auto"/>
      </w:divBdr>
    </w:div>
    <w:div w:id="868756370">
      <w:bodyDiv w:val="1"/>
      <w:marLeft w:val="0"/>
      <w:marRight w:val="0"/>
      <w:marTop w:val="0"/>
      <w:marBottom w:val="0"/>
      <w:divBdr>
        <w:top w:val="none" w:sz="0" w:space="0" w:color="auto"/>
        <w:left w:val="none" w:sz="0" w:space="0" w:color="auto"/>
        <w:bottom w:val="none" w:sz="0" w:space="0" w:color="auto"/>
        <w:right w:val="none" w:sz="0" w:space="0" w:color="auto"/>
      </w:divBdr>
    </w:div>
    <w:div w:id="1256085923">
      <w:bodyDiv w:val="1"/>
      <w:marLeft w:val="0"/>
      <w:marRight w:val="0"/>
      <w:marTop w:val="0"/>
      <w:marBottom w:val="0"/>
      <w:divBdr>
        <w:top w:val="none" w:sz="0" w:space="0" w:color="auto"/>
        <w:left w:val="none" w:sz="0" w:space="0" w:color="auto"/>
        <w:bottom w:val="none" w:sz="0" w:space="0" w:color="auto"/>
        <w:right w:val="none" w:sz="0" w:space="0" w:color="auto"/>
      </w:divBdr>
    </w:div>
    <w:div w:id="154667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473B-C35E-4E8D-819B-4813726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1555</Words>
  <Characters>8558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Camilo Vargas</cp:lastModifiedBy>
  <cp:revision>3</cp:revision>
  <dcterms:created xsi:type="dcterms:W3CDTF">2021-08-19T20:00:00Z</dcterms:created>
  <dcterms:modified xsi:type="dcterms:W3CDTF">2021-09-20T01:01:00Z</dcterms:modified>
</cp:coreProperties>
</file>