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2975D" w14:textId="4982D82E" w:rsidR="00237105" w:rsidRPr="00D561AC" w:rsidRDefault="00B70F87" w:rsidP="00B70F87">
      <w:pPr>
        <w:jc w:val="both"/>
        <w:rPr>
          <w:rFonts w:ascii="Arial" w:hAnsi="Arial" w:cs="Arial"/>
          <w:color w:val="000000" w:themeColor="text1"/>
          <w:sz w:val="24"/>
          <w:szCs w:val="24"/>
        </w:rPr>
      </w:pPr>
      <w:r>
        <w:rPr>
          <w:rFonts w:ascii="Arial" w:hAnsi="Arial" w:cs="Arial"/>
          <w:color w:val="000000" w:themeColor="text1"/>
          <w:sz w:val="24"/>
          <w:szCs w:val="24"/>
        </w:rPr>
        <w:t>En relación con las modificaciones efectuadas al CPACA frente al tema de los recursos, considero importante resaltar dos de ellas, atinentes</w:t>
      </w:r>
      <w:r w:rsidR="00FD0AF9">
        <w:rPr>
          <w:rFonts w:ascii="Arial" w:hAnsi="Arial" w:cs="Arial"/>
          <w:color w:val="000000" w:themeColor="text1"/>
          <w:sz w:val="24"/>
          <w:szCs w:val="24"/>
        </w:rPr>
        <w:t xml:space="preserve"> a</w:t>
      </w:r>
      <w:r>
        <w:rPr>
          <w:rFonts w:ascii="Arial" w:hAnsi="Arial" w:cs="Arial"/>
          <w:color w:val="000000" w:themeColor="text1"/>
          <w:sz w:val="24"/>
          <w:szCs w:val="24"/>
        </w:rPr>
        <w:t xml:space="preserve"> los recursos ordinarios, que también, fueron evidenciadas y reconocidas por la H. Consejera en su video: La primera de ellas, alusiva al recurso de reposición, que según la modificación introducida por la Ley 2080 de 2021, determina como regla general, su procedencia contra todos los autos, salvo la existencia de norma legal en contrario, lo cual, no solo descongestiona la labor de los Tribunales Administrativos y del Consejo de Estado, como órganos colegiados de segunda instancia, sino que también permite que el juez que adoptó la decisión impugnada, tenga la posibilidad de revisar la misma y enmendar los posibles yerros en los que hubiera podido incurrir. La segunda, referente al efecto en el que surtirá el recurso de apelación</w:t>
      </w:r>
      <w:r w:rsidR="00FD0AF9">
        <w:rPr>
          <w:rFonts w:ascii="Arial" w:hAnsi="Arial" w:cs="Arial"/>
          <w:color w:val="000000" w:themeColor="text1"/>
          <w:sz w:val="24"/>
          <w:szCs w:val="24"/>
        </w:rPr>
        <w:t>, privilegiando al efecto devolutivo, contrario a la legislación anterior, en la que primaba el efecto suspensivo, lo cual, sin dubitación alguna, agiliza la tramitación del proceso judicial.</w:t>
      </w:r>
    </w:p>
    <w:p w14:paraId="5805FF16" w14:textId="77777777" w:rsidR="00AD3ECC" w:rsidRDefault="00AD3ECC"/>
    <w:sectPr w:rsidR="00AD3EC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105"/>
    <w:rsid w:val="00237105"/>
    <w:rsid w:val="00AD3ECC"/>
    <w:rsid w:val="00B70F87"/>
    <w:rsid w:val="00FD0AF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4FA60"/>
  <w15:chartTrackingRefBased/>
  <w15:docId w15:val="{D48725CA-E96A-4A95-B1C2-A02398D0A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10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165</Words>
  <Characters>910</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2</cp:revision>
  <dcterms:created xsi:type="dcterms:W3CDTF">2021-09-20T04:25:00Z</dcterms:created>
  <dcterms:modified xsi:type="dcterms:W3CDTF">2021-09-20T04:39:00Z</dcterms:modified>
</cp:coreProperties>
</file>