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518E" w14:textId="1CE76C57" w:rsidR="00C9147E" w:rsidRPr="00C9147E" w:rsidRDefault="00C9147E" w:rsidP="00C9147E">
      <w:pPr>
        <w:jc w:val="both"/>
        <w:rPr>
          <w:rFonts w:ascii="Optima" w:hAnsi="Optima"/>
          <w:lang w:val="es-ES"/>
        </w:rPr>
      </w:pPr>
      <w:r w:rsidRPr="00C9147E">
        <w:rPr>
          <w:rFonts w:ascii="Optima" w:hAnsi="Optima"/>
          <w:lang w:val="es-ES"/>
        </w:rPr>
        <w:t xml:space="preserve">Comentario al video sobre sentencia anticipada. </w:t>
      </w:r>
    </w:p>
    <w:p w14:paraId="753418A0" w14:textId="6AA195DA" w:rsidR="00C9147E" w:rsidRPr="00C9147E" w:rsidRDefault="00C9147E" w:rsidP="00C9147E">
      <w:pPr>
        <w:jc w:val="both"/>
        <w:rPr>
          <w:rFonts w:ascii="Optima" w:hAnsi="Optima"/>
          <w:lang w:val="es-ES"/>
        </w:rPr>
      </w:pPr>
    </w:p>
    <w:p w14:paraId="53FEC368" w14:textId="7C03105F" w:rsidR="00C9147E" w:rsidRPr="00C9147E" w:rsidRDefault="00C9147E" w:rsidP="00C9147E">
      <w:pPr>
        <w:jc w:val="both"/>
        <w:rPr>
          <w:rFonts w:ascii="Optima" w:hAnsi="Optima"/>
          <w:lang w:val="es-ES"/>
        </w:rPr>
      </w:pPr>
      <w:r w:rsidRPr="00C9147E">
        <w:rPr>
          <w:rFonts w:ascii="Optima" w:hAnsi="Optima"/>
          <w:lang w:val="es-ES"/>
        </w:rPr>
        <w:t xml:space="preserve">La exposición que hace el Dr. Bermúdez es </w:t>
      </w:r>
      <w:r>
        <w:rPr>
          <w:rFonts w:ascii="Optima" w:hAnsi="Optima"/>
          <w:lang w:val="es-ES"/>
        </w:rPr>
        <w:t>amplia</w:t>
      </w:r>
      <w:r w:rsidRPr="00C9147E">
        <w:rPr>
          <w:rFonts w:ascii="Optima" w:hAnsi="Optima"/>
          <w:lang w:val="es-ES"/>
        </w:rPr>
        <w:t xml:space="preserve">, en la medida en que </w:t>
      </w:r>
      <w:r w:rsidR="00C83F69">
        <w:rPr>
          <w:rFonts w:ascii="Optima" w:hAnsi="Optima"/>
          <w:lang w:val="es-ES"/>
        </w:rPr>
        <w:t xml:space="preserve">explica las excepciones en el proceso además de que </w:t>
      </w:r>
      <w:r w:rsidRPr="00C9147E">
        <w:rPr>
          <w:rFonts w:ascii="Optima" w:hAnsi="Optima"/>
          <w:lang w:val="es-ES"/>
        </w:rPr>
        <w:t xml:space="preserve">abarca la figura de la sentencia anticipada como es concebida en el contencioso administrativo, a partir de la reforma de la Ley 2080 de 2021. </w:t>
      </w:r>
    </w:p>
    <w:p w14:paraId="4124FBD2" w14:textId="42DD82B4" w:rsidR="00C9147E" w:rsidRPr="00C9147E" w:rsidRDefault="00C9147E" w:rsidP="00C9147E">
      <w:pPr>
        <w:jc w:val="both"/>
        <w:rPr>
          <w:rFonts w:ascii="Optima" w:hAnsi="Optima"/>
          <w:lang w:val="es-ES"/>
        </w:rPr>
      </w:pPr>
    </w:p>
    <w:p w14:paraId="46EBFDF2" w14:textId="65FFBCCA" w:rsidR="00C9147E" w:rsidRPr="00C9147E" w:rsidRDefault="00C9147E" w:rsidP="00C9147E">
      <w:pPr>
        <w:jc w:val="both"/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Es llamativa</w:t>
      </w:r>
      <w:r w:rsidRPr="00C9147E">
        <w:rPr>
          <w:rFonts w:ascii="Optima" w:hAnsi="Optima"/>
          <w:lang w:val="es-ES"/>
        </w:rPr>
        <w:t xml:space="preserve"> la reflexión acerca de la utilidad de la oralidad en lo contencioso administrativo, que al parecer es un punto que tuvo en cuenta el legislador al promover la reforma y prescindir de su obligatoriedad, en eventos en que el proceso escrito representa celeridad, </w:t>
      </w:r>
      <w:r>
        <w:rPr>
          <w:rFonts w:ascii="Optima" w:hAnsi="Optima"/>
          <w:lang w:val="es-ES"/>
        </w:rPr>
        <w:t>sobre la idea de que siempre es más célere adelantar</w:t>
      </w:r>
      <w:r w:rsidRPr="00C9147E">
        <w:rPr>
          <w:rFonts w:ascii="Optima" w:hAnsi="Optima"/>
          <w:lang w:val="es-ES"/>
        </w:rPr>
        <w:t xml:space="preserve"> el juicio por audiencias. </w:t>
      </w:r>
    </w:p>
    <w:p w14:paraId="7A95FC85" w14:textId="0BAD9F6A" w:rsidR="00C9147E" w:rsidRPr="00C9147E" w:rsidRDefault="00C9147E" w:rsidP="00C9147E">
      <w:pPr>
        <w:jc w:val="both"/>
        <w:rPr>
          <w:rFonts w:ascii="Optima" w:hAnsi="Optima"/>
          <w:lang w:val="es-ES"/>
        </w:rPr>
      </w:pPr>
      <w:r w:rsidRPr="00C9147E">
        <w:rPr>
          <w:rFonts w:ascii="Optima" w:hAnsi="Optima"/>
          <w:lang w:val="es-ES"/>
        </w:rPr>
        <w:br/>
      </w:r>
      <w:r>
        <w:rPr>
          <w:rFonts w:ascii="Optima" w:hAnsi="Optima"/>
          <w:lang w:val="es-ES"/>
        </w:rPr>
        <w:t xml:space="preserve">Llaman la atención </w:t>
      </w:r>
      <w:r w:rsidRPr="00C9147E">
        <w:rPr>
          <w:rFonts w:ascii="Optima" w:hAnsi="Optima"/>
          <w:lang w:val="es-ES"/>
        </w:rPr>
        <w:t xml:space="preserve">las </w:t>
      </w:r>
      <w:r>
        <w:rPr>
          <w:rFonts w:ascii="Optima" w:hAnsi="Optima"/>
          <w:lang w:val="es-ES"/>
        </w:rPr>
        <w:t>comparaciones que elabora del proceso contencioso administrativo en contraste con el proceso ordinario c</w:t>
      </w:r>
      <w:r w:rsidR="00C83F69">
        <w:rPr>
          <w:rFonts w:ascii="Optima" w:hAnsi="Optima"/>
          <w:lang w:val="es-ES"/>
        </w:rPr>
        <w:t xml:space="preserve">ivil, lo que sirve de argumento a favor de la importancia de contar con una Jurisdicción Especializada. </w:t>
      </w:r>
    </w:p>
    <w:p w14:paraId="787BDD9E" w14:textId="42F1F0AE" w:rsidR="00C9147E" w:rsidRPr="00C9147E" w:rsidRDefault="00C9147E" w:rsidP="00C9147E">
      <w:pPr>
        <w:jc w:val="both"/>
        <w:rPr>
          <w:rFonts w:ascii="Optima" w:hAnsi="Optima"/>
          <w:lang w:val="es-ES"/>
        </w:rPr>
      </w:pPr>
    </w:p>
    <w:p w14:paraId="56AB2DD5" w14:textId="562FD8F0" w:rsidR="00C9147E" w:rsidRDefault="00C9147E" w:rsidP="00C9147E">
      <w:pPr>
        <w:jc w:val="both"/>
        <w:rPr>
          <w:rFonts w:ascii="Optima" w:hAnsi="Optima"/>
          <w:lang w:val="es-ES"/>
        </w:rPr>
      </w:pPr>
      <w:r w:rsidRPr="00C9147E">
        <w:rPr>
          <w:rFonts w:ascii="Optima" w:hAnsi="Optima"/>
          <w:lang w:val="es-ES"/>
        </w:rPr>
        <w:t>Estoy en desacuerdo con la perspectiva del consejero alrededor de la fijación del litigio</w:t>
      </w:r>
      <w:r w:rsidR="00C83F69">
        <w:rPr>
          <w:rFonts w:ascii="Optima" w:hAnsi="Optima"/>
          <w:lang w:val="es-ES"/>
        </w:rPr>
        <w:t>, e</w:t>
      </w:r>
      <w:r>
        <w:rPr>
          <w:rFonts w:ascii="Optima" w:hAnsi="Optima"/>
          <w:lang w:val="es-ES"/>
        </w:rPr>
        <w:t xml:space="preserve">n la medida en que esta figura sí debe señalarse mediante auto y debe ser vinculante para el juez en el fallo, en especial, en aquellos puntos de acuerdo y diferencia sobre las partes. </w:t>
      </w:r>
      <w:r w:rsidR="00C83F69">
        <w:rPr>
          <w:rFonts w:ascii="Optima" w:hAnsi="Optima"/>
          <w:lang w:val="es-ES"/>
        </w:rPr>
        <w:t xml:space="preserve">Además, es bastante útil, si se entiende ésta como un mapa que guía la decisión judicial. </w:t>
      </w:r>
    </w:p>
    <w:p w14:paraId="339C9E41" w14:textId="1A7003E6" w:rsidR="00C9147E" w:rsidRDefault="00C9147E" w:rsidP="00C9147E">
      <w:pPr>
        <w:jc w:val="both"/>
        <w:rPr>
          <w:rFonts w:ascii="Optima" w:hAnsi="Optima"/>
          <w:lang w:val="es-ES"/>
        </w:rPr>
      </w:pPr>
    </w:p>
    <w:p w14:paraId="565251B0" w14:textId="27D032CD" w:rsidR="00C9147E" w:rsidRPr="00C9147E" w:rsidRDefault="00C9147E" w:rsidP="00C9147E">
      <w:pPr>
        <w:jc w:val="both"/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De la figura de la sentencia anticipada en general considero que puede ser muy útil, pero, </w:t>
      </w:r>
      <w:proofErr w:type="gramStart"/>
      <w:r>
        <w:rPr>
          <w:rFonts w:ascii="Optima" w:hAnsi="Optima"/>
          <w:lang w:val="es-ES"/>
        </w:rPr>
        <w:t>sin lugar a dudas</w:t>
      </w:r>
      <w:proofErr w:type="gramEnd"/>
      <w:r>
        <w:rPr>
          <w:rFonts w:ascii="Optima" w:hAnsi="Optima"/>
          <w:lang w:val="es-ES"/>
        </w:rPr>
        <w:t>, quedan confusiones o aspectos que no son resueltos por el legislador, tales como, si la remisión al Artículo 17</w:t>
      </w:r>
      <w:r w:rsidR="00C83F69">
        <w:rPr>
          <w:rFonts w:ascii="Optima" w:hAnsi="Optima"/>
          <w:lang w:val="es-ES"/>
        </w:rPr>
        <w:t>3</w:t>
      </w:r>
      <w:r>
        <w:rPr>
          <w:rFonts w:ascii="Optima" w:hAnsi="Optima"/>
          <w:lang w:val="es-ES"/>
        </w:rPr>
        <w:t xml:space="preserve"> del CGP, es solamente cuando se va a dictar sentencia anticipada; </w:t>
      </w:r>
      <w:r w:rsidR="00C83F69">
        <w:rPr>
          <w:rFonts w:ascii="Optima" w:hAnsi="Optima"/>
          <w:lang w:val="es-ES"/>
        </w:rPr>
        <w:t xml:space="preserve">tampoco se aborda la discusión de si la sentencia anticipada, abre la posibilidad de que se dicten varias sentencias al interior de una misma instancia. </w:t>
      </w:r>
      <w:r w:rsidR="00C83F69">
        <w:rPr>
          <w:rFonts w:ascii="Optima" w:hAnsi="Optima"/>
          <w:lang w:val="es-ES"/>
        </w:rPr>
        <w:br/>
      </w:r>
      <w:r w:rsidR="00C83F69">
        <w:rPr>
          <w:rFonts w:ascii="Optima" w:hAnsi="Optima"/>
          <w:lang w:val="es-ES"/>
        </w:rPr>
        <w:br/>
        <w:t xml:space="preserve">Muchas gracias. </w:t>
      </w:r>
    </w:p>
    <w:sectPr w:rsidR="00C9147E" w:rsidRPr="00C91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E"/>
    <w:rsid w:val="00C83F69"/>
    <w:rsid w:val="00C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D95D8"/>
  <w15:chartTrackingRefBased/>
  <w15:docId w15:val="{47C9FF79-C35A-AA41-A9C1-980B1A50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Cortina Campo</dc:creator>
  <cp:keywords/>
  <dc:description/>
  <cp:lastModifiedBy>Sofía Cortina Campo</cp:lastModifiedBy>
  <cp:revision>1</cp:revision>
  <dcterms:created xsi:type="dcterms:W3CDTF">2021-09-06T13:58:00Z</dcterms:created>
  <dcterms:modified xsi:type="dcterms:W3CDTF">2021-09-06T15:08:00Z</dcterms:modified>
</cp:coreProperties>
</file>