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23A65B" w14:textId="637A41A4" w:rsidR="00096529" w:rsidRDefault="00CA7350" w:rsidP="00CA7350">
      <w:pPr>
        <w:spacing w:line="264" w:lineRule="auto"/>
        <w:contextualSpacing/>
        <w:rPr>
          <w:rFonts w:ascii="Bookman Old Style" w:hAnsi="Bookman Old Style"/>
          <w:lang w:val="es-MX"/>
        </w:rPr>
      </w:pPr>
      <w:r w:rsidRPr="00CA7350">
        <w:rPr>
          <w:rFonts w:ascii="Bookman Old Style" w:hAnsi="Bookman Old Style"/>
          <w:lang w:val="es-MX"/>
        </w:rPr>
        <w:t>Comentario sobre la sentencia anticipada y las excepciones previas:</w:t>
      </w:r>
    </w:p>
    <w:p w14:paraId="643520F8" w14:textId="77777777" w:rsidR="00CA7350" w:rsidRPr="00CA7350" w:rsidRDefault="00CA7350" w:rsidP="00CA7350">
      <w:pPr>
        <w:spacing w:line="264" w:lineRule="auto"/>
        <w:contextualSpacing/>
        <w:rPr>
          <w:rFonts w:ascii="Bookman Old Style" w:hAnsi="Bookman Old Style"/>
          <w:lang w:val="es-MX"/>
        </w:rPr>
      </w:pPr>
    </w:p>
    <w:p w14:paraId="20DD11D6" w14:textId="5F331B3F" w:rsidR="00CA7350" w:rsidRDefault="00CA7350" w:rsidP="00CA7350">
      <w:pPr>
        <w:spacing w:line="264" w:lineRule="auto"/>
        <w:contextualSpacing/>
        <w:rPr>
          <w:rFonts w:ascii="Bookman Old Style" w:hAnsi="Bookman Old Style"/>
          <w:lang w:val="es-MX"/>
        </w:rPr>
      </w:pPr>
      <w:r w:rsidRPr="00CA7350">
        <w:rPr>
          <w:rFonts w:ascii="Bookman Old Style" w:hAnsi="Bookman Old Style"/>
          <w:lang w:val="es-MX"/>
        </w:rPr>
        <w:t xml:space="preserve">Por: </w:t>
      </w:r>
      <w:r w:rsidRPr="00CA7350">
        <w:rPr>
          <w:rFonts w:ascii="Bookman Old Style" w:hAnsi="Bookman Old Style"/>
          <w:b/>
          <w:bCs/>
          <w:lang w:val="es-MX"/>
        </w:rPr>
        <w:t>Mauricio Legarda Narváez</w:t>
      </w:r>
      <w:r w:rsidRPr="00CA7350">
        <w:rPr>
          <w:rFonts w:ascii="Bookman Old Style" w:hAnsi="Bookman Old Style"/>
          <w:lang w:val="es-MX"/>
        </w:rPr>
        <w:t>, discente.</w:t>
      </w:r>
    </w:p>
    <w:p w14:paraId="46A92EEE" w14:textId="77777777" w:rsidR="00CA7350" w:rsidRPr="00CA7350" w:rsidRDefault="00CA7350" w:rsidP="00CA7350">
      <w:pPr>
        <w:spacing w:line="264" w:lineRule="auto"/>
        <w:contextualSpacing/>
        <w:rPr>
          <w:rFonts w:ascii="Bookman Old Style" w:hAnsi="Bookman Old Style"/>
          <w:lang w:val="es-MX"/>
        </w:rPr>
      </w:pPr>
    </w:p>
    <w:p w14:paraId="2B2D6E36" w14:textId="77777777" w:rsidR="00CA7350" w:rsidRPr="00CA7350" w:rsidRDefault="00CA7350" w:rsidP="00CA7350">
      <w:pPr>
        <w:spacing w:line="264" w:lineRule="auto"/>
        <w:contextualSpacing/>
        <w:jc w:val="both"/>
        <w:rPr>
          <w:rFonts w:ascii="Bookman Old Style" w:hAnsi="Bookman Old Style"/>
          <w:lang w:val="es-MX"/>
        </w:rPr>
      </w:pPr>
      <w:r w:rsidRPr="00CA7350">
        <w:rPr>
          <w:rFonts w:ascii="Bookman Old Style" w:hAnsi="Bookman Old Style"/>
          <w:lang w:val="es-MX"/>
        </w:rPr>
        <w:t xml:space="preserve">Creo, como muchos de los compañeros que me han precedido en este espacio, que la L.2080/2021 constituye un gran avance en la modernización de la administración de justicia; ahora bien, no obstante los reparos que acertadamente hace el Dr. Martín Bermúdez, según los cuales aquellas modificaciones que la ley introdujo en torno a la sentencia anticipada parecen, a su juicio, tímidas, pues se mantiene la posibilidad de practicar la audiencia inicial,  no cabe duda de que, en el mayor número de casos que están en conocimiento de la jurisdicción contencioso administrativa, aquella figura impactará positivamente en la agilidad y celeridad en su resolución; al respecto, es oportuno recordar que un aproximado de 90% de procesos puestos en conocimiento de los jueces administrativos corresponde al medio de control de nulidad y restablecimiento del derecho de carácter laboral, casos en los que, por regla general, las partes aportan desde un inicio los elementos de pruebas necesarios y el debate se centra en la legalidad del acto administrativo cuestionado. Con lo anterior, es claro que aquella figura significará un gran alivio para el saturado sistema de justicia. </w:t>
      </w:r>
    </w:p>
    <w:p w14:paraId="08E9DD0B" w14:textId="77777777" w:rsidR="00CA7350" w:rsidRPr="00CA7350" w:rsidRDefault="00CA7350" w:rsidP="00CA7350">
      <w:pPr>
        <w:spacing w:line="264" w:lineRule="auto"/>
        <w:contextualSpacing/>
        <w:jc w:val="both"/>
        <w:rPr>
          <w:rFonts w:ascii="Bookman Old Style" w:hAnsi="Bookman Old Style"/>
          <w:lang w:val="es-MX"/>
        </w:rPr>
      </w:pPr>
    </w:p>
    <w:p w14:paraId="0ED1B728" w14:textId="77777777" w:rsidR="00CA7350" w:rsidRPr="00CA7350" w:rsidRDefault="00CA7350" w:rsidP="00CA7350">
      <w:pPr>
        <w:spacing w:line="264" w:lineRule="auto"/>
        <w:contextualSpacing/>
        <w:jc w:val="both"/>
        <w:rPr>
          <w:rFonts w:ascii="Bookman Old Style" w:hAnsi="Bookman Old Style"/>
          <w:lang w:val="es-MX"/>
        </w:rPr>
      </w:pPr>
      <w:r w:rsidRPr="00CA7350">
        <w:rPr>
          <w:rFonts w:ascii="Bookman Old Style" w:hAnsi="Bookman Old Style"/>
          <w:lang w:val="es-MX"/>
        </w:rPr>
        <w:t>En punto a la L.2080/2021, a mi modo de ver la norma garantiza de mejor manera y con mayor efectividad los derechos de las partes pues, a diferencia del D.806/2020, previo a dictarse sentencia anticipada, el auto que así lo disponga debe (i) resolver sobre pruebas, (</w:t>
      </w:r>
      <w:proofErr w:type="spellStart"/>
      <w:r w:rsidRPr="00CA7350">
        <w:rPr>
          <w:rFonts w:ascii="Bookman Old Style" w:hAnsi="Bookman Old Style"/>
          <w:lang w:val="es-MX"/>
        </w:rPr>
        <w:t>ii</w:t>
      </w:r>
      <w:proofErr w:type="spellEnd"/>
      <w:r w:rsidRPr="00CA7350">
        <w:rPr>
          <w:rFonts w:ascii="Bookman Old Style" w:hAnsi="Bookman Old Style"/>
          <w:lang w:val="es-MX"/>
        </w:rPr>
        <w:t>) fijar el litigio y, cumplido ello, (</w:t>
      </w:r>
      <w:proofErr w:type="spellStart"/>
      <w:r w:rsidRPr="00CA7350">
        <w:rPr>
          <w:rFonts w:ascii="Bookman Old Style" w:hAnsi="Bookman Old Style"/>
          <w:lang w:val="es-MX"/>
        </w:rPr>
        <w:t>iii</w:t>
      </w:r>
      <w:proofErr w:type="spellEnd"/>
      <w:r w:rsidRPr="00CA7350">
        <w:rPr>
          <w:rFonts w:ascii="Bookman Old Style" w:hAnsi="Bookman Old Style"/>
          <w:lang w:val="es-MX"/>
        </w:rPr>
        <w:t>) correr traslado para los alegatos, en ese sentido las partes, notificado el auto, tendrán oportunidad de debatir la decisión del Juez en torno a las pruebas o discutir la fijación del litigio, cosa que no ocurría con lo establecido por el D.806/2020.</w:t>
      </w:r>
    </w:p>
    <w:p w14:paraId="1E6C29F0" w14:textId="77777777" w:rsidR="00CA7350" w:rsidRPr="00CA7350" w:rsidRDefault="00CA7350" w:rsidP="00CA7350">
      <w:pPr>
        <w:spacing w:line="264" w:lineRule="auto"/>
        <w:contextualSpacing/>
        <w:jc w:val="both"/>
        <w:rPr>
          <w:rFonts w:ascii="Bookman Old Style" w:hAnsi="Bookman Old Style"/>
          <w:lang w:val="es-MX"/>
        </w:rPr>
      </w:pPr>
    </w:p>
    <w:p w14:paraId="36919CB4" w14:textId="77777777" w:rsidR="00CA7350" w:rsidRPr="00CA7350" w:rsidRDefault="00CA7350" w:rsidP="00CA7350">
      <w:pPr>
        <w:spacing w:line="264" w:lineRule="auto"/>
        <w:contextualSpacing/>
        <w:jc w:val="both"/>
        <w:rPr>
          <w:rFonts w:ascii="Bookman Old Style" w:hAnsi="Bookman Old Style"/>
          <w:lang w:val="es-MX"/>
        </w:rPr>
      </w:pPr>
      <w:r w:rsidRPr="00CA7350">
        <w:rPr>
          <w:rFonts w:ascii="Bookman Old Style" w:hAnsi="Bookman Old Style"/>
          <w:lang w:val="es-MX"/>
        </w:rPr>
        <w:t xml:space="preserve">Finalmente, coincido con aquellos discentes que advierten el inconveniente que surge de la restricción probatoria que trae el art. 101 del CGP, puesto que la naturaleza de los asuntos a cargo de nuestra jurisdicción y el papel del Juez Administrativo como Juez de la administración exige un actuar dinámico y proactivo que, en todo caso, se obstruye con aquella limitante procesal, la que, por demás, resulta propia de los litigios entre particulares y extraña a los litigios con el Estado administrador; sin duda, este aspecto traerá serias dificultades que, esperamos, module y supere la jurisprudencia.  </w:t>
      </w:r>
    </w:p>
    <w:p w14:paraId="24D8C5EA" w14:textId="77777777" w:rsidR="00CA7350" w:rsidRPr="00CA7350" w:rsidRDefault="00CA7350" w:rsidP="00CA7350">
      <w:pPr>
        <w:spacing w:line="264" w:lineRule="auto"/>
        <w:contextualSpacing/>
        <w:rPr>
          <w:rFonts w:ascii="Bookman Old Style" w:hAnsi="Bookman Old Style"/>
          <w:lang w:val="es-MX"/>
        </w:rPr>
      </w:pPr>
    </w:p>
    <w:sectPr w:rsidR="00CA7350" w:rsidRPr="00CA73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350"/>
    <w:rsid w:val="00096529"/>
    <w:rsid w:val="00CA735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A9776"/>
  <w15:chartTrackingRefBased/>
  <w15:docId w15:val="{1D80830F-B1CD-4E01-A26F-369A31A75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378</Words>
  <Characters>2079</Characters>
  <Application>Microsoft Office Word</Application>
  <DocSecurity>0</DocSecurity>
  <Lines>17</Lines>
  <Paragraphs>4</Paragraphs>
  <ScaleCrop>false</ScaleCrop>
  <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Mauricio LegardaNarvaez</dc:creator>
  <cp:keywords/>
  <dc:description/>
  <cp:lastModifiedBy>Mauricio LegardaNarvaez</cp:lastModifiedBy>
  <cp:revision>1</cp:revision>
  <dcterms:created xsi:type="dcterms:W3CDTF">2021-09-02T20:12:00Z</dcterms:created>
  <dcterms:modified xsi:type="dcterms:W3CDTF">2021-09-02T20:13:00Z</dcterms:modified>
</cp:coreProperties>
</file>