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F72" w:rsidRPr="00AC7E91" w:rsidRDefault="00AC7E91">
      <w:pPr>
        <w:rPr>
          <w:sz w:val="36"/>
          <w:szCs w:val="36"/>
          <w:lang w:val="es-ES"/>
        </w:rPr>
      </w:pPr>
      <w:r w:rsidRPr="00AC7E91">
        <w:rPr>
          <w:sz w:val="36"/>
          <w:szCs w:val="36"/>
          <w:lang w:val="es-ES"/>
        </w:rPr>
        <w:t xml:space="preserve">La Reforma de los recursos, traída por la Ley 2080 del 2021, conlleva la </w:t>
      </w:r>
      <w:proofErr w:type="spellStart"/>
      <w:r w:rsidRPr="00AC7E91">
        <w:rPr>
          <w:sz w:val="36"/>
          <w:szCs w:val="36"/>
          <w:lang w:val="es-ES"/>
        </w:rPr>
        <w:t>constitucionalización</w:t>
      </w:r>
      <w:proofErr w:type="spellEnd"/>
      <w:r w:rsidRPr="00AC7E91">
        <w:rPr>
          <w:sz w:val="36"/>
          <w:szCs w:val="36"/>
          <w:lang w:val="es-ES"/>
        </w:rPr>
        <w:t xml:space="preserve"> del Derecho Administrativo Procesal, fortaleciendo la supremacía constitucional procesal de los derechos fundamentales del debido proceso y el derecho de defensa.</w:t>
      </w:r>
    </w:p>
    <w:p w:rsidR="00AC7E91" w:rsidRPr="00AC7E91" w:rsidRDefault="00AC7E91">
      <w:pPr>
        <w:rPr>
          <w:sz w:val="36"/>
          <w:szCs w:val="36"/>
          <w:lang w:val="es-ES"/>
        </w:rPr>
      </w:pPr>
      <w:bookmarkStart w:id="0" w:name="_GoBack"/>
      <w:bookmarkEnd w:id="0"/>
    </w:p>
    <w:sectPr w:rsidR="00AC7E91" w:rsidRPr="00AC7E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E91"/>
    <w:rsid w:val="00AC7E91"/>
    <w:rsid w:val="00E8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BF587-5D0F-498B-8BC1-A809DAD1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RAMAJUDICIAL</dc:creator>
  <cp:keywords/>
  <dc:description/>
  <cp:lastModifiedBy>RAMAJUDICIAL</cp:lastModifiedBy>
  <cp:revision>1</cp:revision>
  <dcterms:created xsi:type="dcterms:W3CDTF">2021-09-17T20:11:00Z</dcterms:created>
  <dcterms:modified xsi:type="dcterms:W3CDTF">2021-09-17T20:13:00Z</dcterms:modified>
</cp:coreProperties>
</file>