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96" w:rsidRPr="00594060" w:rsidRDefault="00594060" w:rsidP="00594060">
      <w:pPr>
        <w:jc w:val="both"/>
        <w:rPr>
          <w:rFonts w:ascii="Arial" w:hAnsi="Arial" w:cs="Arial"/>
          <w:sz w:val="24"/>
          <w:szCs w:val="24"/>
          <w:lang w:val="es-MX"/>
        </w:rPr>
      </w:pPr>
      <w:r w:rsidRPr="00594060">
        <w:rPr>
          <w:rFonts w:ascii="Arial" w:hAnsi="Arial" w:cs="Arial"/>
          <w:sz w:val="24"/>
          <w:szCs w:val="24"/>
          <w:lang w:val="es-MX"/>
        </w:rPr>
        <w:t>Buenas tardes,</w:t>
      </w:r>
    </w:p>
    <w:p w:rsidR="00594060" w:rsidRDefault="00594060" w:rsidP="00594060">
      <w:pPr>
        <w:jc w:val="both"/>
        <w:rPr>
          <w:rFonts w:ascii="Arial" w:hAnsi="Arial" w:cs="Arial"/>
          <w:sz w:val="24"/>
          <w:szCs w:val="24"/>
          <w:lang w:val="es-MX"/>
        </w:rPr>
      </w:pPr>
      <w:r>
        <w:rPr>
          <w:rFonts w:ascii="Arial" w:hAnsi="Arial" w:cs="Arial"/>
          <w:sz w:val="24"/>
          <w:szCs w:val="24"/>
          <w:lang w:val="es-MX"/>
        </w:rPr>
        <w:t>En general estoy de acuerdo con cada una de las apreciaciones del Dr. Martin Bermúdez</w:t>
      </w:r>
      <w:r w:rsidR="006B4E9A">
        <w:rPr>
          <w:rFonts w:ascii="Arial" w:hAnsi="Arial" w:cs="Arial"/>
          <w:sz w:val="24"/>
          <w:szCs w:val="24"/>
          <w:lang w:val="es-MX"/>
        </w:rPr>
        <w:t>. Celebro</w:t>
      </w:r>
      <w:r>
        <w:rPr>
          <w:rFonts w:ascii="Arial" w:hAnsi="Arial" w:cs="Arial"/>
          <w:sz w:val="24"/>
          <w:szCs w:val="24"/>
          <w:lang w:val="es-MX"/>
        </w:rPr>
        <w:t xml:space="preserve"> la re</w:t>
      </w:r>
      <w:r w:rsidR="006B4E9A">
        <w:rPr>
          <w:rFonts w:ascii="Arial" w:hAnsi="Arial" w:cs="Arial"/>
          <w:sz w:val="24"/>
          <w:szCs w:val="24"/>
          <w:lang w:val="es-MX"/>
        </w:rPr>
        <w:t>levancia que le dio a la distinción</w:t>
      </w:r>
      <w:r>
        <w:rPr>
          <w:rFonts w:ascii="Arial" w:hAnsi="Arial" w:cs="Arial"/>
          <w:sz w:val="24"/>
          <w:szCs w:val="24"/>
          <w:lang w:val="es-MX"/>
        </w:rPr>
        <w:t xml:space="preserve"> entre aquellas pruebas que requieren de practica (testimonios, dictámenes) y aquellas que no, pues es suficiente con aportarlas (documentales)</w:t>
      </w:r>
      <w:r w:rsidR="006B4E9A">
        <w:rPr>
          <w:rFonts w:ascii="Arial" w:hAnsi="Arial" w:cs="Arial"/>
          <w:sz w:val="24"/>
          <w:szCs w:val="24"/>
          <w:lang w:val="es-MX"/>
        </w:rPr>
        <w:t xml:space="preserve">; </w:t>
      </w:r>
      <w:r>
        <w:rPr>
          <w:rFonts w:ascii="Arial" w:hAnsi="Arial" w:cs="Arial"/>
          <w:sz w:val="24"/>
          <w:szCs w:val="24"/>
          <w:lang w:val="es-MX"/>
        </w:rPr>
        <w:t>a fin de decidir el trámite que debe darse a cada proceso (</w:t>
      </w:r>
      <w:r w:rsidR="006B4E9A">
        <w:rPr>
          <w:rFonts w:ascii="Arial" w:hAnsi="Arial" w:cs="Arial"/>
          <w:sz w:val="24"/>
          <w:szCs w:val="24"/>
          <w:lang w:val="es-MX"/>
        </w:rPr>
        <w:t>escrito u oral</w:t>
      </w:r>
      <w:r>
        <w:rPr>
          <w:rFonts w:ascii="Arial" w:hAnsi="Arial" w:cs="Arial"/>
          <w:sz w:val="24"/>
          <w:szCs w:val="24"/>
          <w:lang w:val="es-MX"/>
        </w:rPr>
        <w:t>)</w:t>
      </w:r>
      <w:r w:rsidR="006B4E9A">
        <w:rPr>
          <w:rFonts w:ascii="Arial" w:hAnsi="Arial" w:cs="Arial"/>
          <w:sz w:val="24"/>
          <w:szCs w:val="24"/>
          <w:lang w:val="es-MX"/>
        </w:rPr>
        <w:t>.</w:t>
      </w:r>
    </w:p>
    <w:p w:rsidR="006B4E9A" w:rsidRDefault="006B4E9A" w:rsidP="00594060">
      <w:pPr>
        <w:jc w:val="both"/>
        <w:rPr>
          <w:rFonts w:ascii="Arial" w:hAnsi="Arial" w:cs="Arial"/>
          <w:sz w:val="24"/>
          <w:szCs w:val="24"/>
          <w:lang w:val="es-MX"/>
        </w:rPr>
      </w:pPr>
      <w:r>
        <w:rPr>
          <w:rFonts w:ascii="Arial" w:hAnsi="Arial" w:cs="Arial"/>
          <w:sz w:val="24"/>
          <w:szCs w:val="24"/>
          <w:lang w:val="es-MX"/>
        </w:rPr>
        <w:t>Concuerdo con que la causal de sentencia anticipada previo a audiencia inicial, prevista en el numeral 1°, literal b) del artículo 182 del C.P.A.C.A., en realidad envuelve las causales subsiguientes.</w:t>
      </w:r>
    </w:p>
    <w:p w:rsidR="006B4E9A" w:rsidRDefault="006B4E9A" w:rsidP="00594060">
      <w:pPr>
        <w:jc w:val="both"/>
        <w:rPr>
          <w:rFonts w:ascii="Arial" w:hAnsi="Arial" w:cs="Arial"/>
          <w:sz w:val="24"/>
          <w:szCs w:val="24"/>
          <w:lang w:val="es-MX"/>
        </w:rPr>
      </w:pPr>
      <w:r>
        <w:rPr>
          <w:rFonts w:ascii="Arial" w:hAnsi="Arial" w:cs="Arial"/>
          <w:sz w:val="24"/>
          <w:szCs w:val="24"/>
          <w:lang w:val="es-MX"/>
        </w:rPr>
        <w:t>Y así mismo, me pareció muy importante su apreciación sobre la fijación del litigio, en el entendido que ello no puede constituirse en una camisa de fuerza para el juez, pues en atención al principio de congruencia debe sujetarse es a las pretensiones de la demanda.</w:t>
      </w:r>
    </w:p>
    <w:p w:rsidR="006B4E9A" w:rsidRDefault="006B4E9A" w:rsidP="00594060">
      <w:pPr>
        <w:jc w:val="both"/>
        <w:rPr>
          <w:rFonts w:ascii="Arial" w:hAnsi="Arial" w:cs="Arial"/>
          <w:sz w:val="24"/>
          <w:szCs w:val="24"/>
          <w:lang w:val="es-MX"/>
        </w:rPr>
      </w:pPr>
      <w:r>
        <w:rPr>
          <w:rFonts w:ascii="Arial" w:hAnsi="Arial" w:cs="Arial"/>
          <w:sz w:val="24"/>
          <w:szCs w:val="24"/>
          <w:lang w:val="es-MX"/>
        </w:rPr>
        <w:t>No obstante, difiero en lo atiente a que es procedente el recurso de apelación contra el auto que resuelve excepciones previas, en tanto ello no está previsto en el artículo 243 del C.P.A.C.A. original, ni en el modificado por la Ley 2080 de 2021 y si bien el numeral 6° del artículo 180 original preveía ese recurso, tal numeral fue modifica</w:t>
      </w:r>
      <w:r w:rsidR="00CA5ABC">
        <w:rPr>
          <w:rFonts w:ascii="Arial" w:hAnsi="Arial" w:cs="Arial"/>
          <w:sz w:val="24"/>
          <w:szCs w:val="24"/>
          <w:lang w:val="es-MX"/>
        </w:rPr>
        <w:t>do por la Ley 2080 eliminado el</w:t>
      </w:r>
      <w:r>
        <w:rPr>
          <w:rFonts w:ascii="Arial" w:hAnsi="Arial" w:cs="Arial"/>
          <w:sz w:val="24"/>
          <w:szCs w:val="24"/>
          <w:lang w:val="es-MX"/>
        </w:rPr>
        <w:t xml:space="preserve"> inciso</w:t>
      </w:r>
      <w:r w:rsidR="00CA5ABC">
        <w:rPr>
          <w:rFonts w:ascii="Arial" w:hAnsi="Arial" w:cs="Arial"/>
          <w:sz w:val="24"/>
          <w:szCs w:val="24"/>
          <w:lang w:val="es-MX"/>
        </w:rPr>
        <w:t xml:space="preserve"> que se refería al recurso de apelación</w:t>
      </w:r>
      <w:r>
        <w:rPr>
          <w:rFonts w:ascii="Arial" w:hAnsi="Arial" w:cs="Arial"/>
          <w:sz w:val="24"/>
          <w:szCs w:val="24"/>
          <w:lang w:val="es-MX"/>
        </w:rPr>
        <w:t xml:space="preserve">. Lo anterior, salvo cuando </w:t>
      </w:r>
      <w:r w:rsidR="00CA5ABC">
        <w:rPr>
          <w:rFonts w:ascii="Arial" w:hAnsi="Arial" w:cs="Arial"/>
          <w:sz w:val="24"/>
          <w:szCs w:val="24"/>
          <w:lang w:val="es-MX"/>
        </w:rPr>
        <w:t xml:space="preserve">se declare probada excepción previa que ponga fin al proceso.  </w:t>
      </w:r>
    </w:p>
    <w:p w:rsidR="00CA5ABC" w:rsidRDefault="00CA5ABC" w:rsidP="00A50F5C">
      <w:pPr>
        <w:jc w:val="both"/>
        <w:rPr>
          <w:rFonts w:ascii="Arial" w:hAnsi="Arial" w:cs="Arial"/>
          <w:sz w:val="24"/>
          <w:szCs w:val="24"/>
          <w:lang w:val="es-MX"/>
        </w:rPr>
      </w:pPr>
      <w:r>
        <w:rPr>
          <w:rFonts w:ascii="Arial" w:hAnsi="Arial" w:cs="Arial"/>
          <w:sz w:val="24"/>
          <w:szCs w:val="24"/>
          <w:lang w:val="es-MX"/>
        </w:rPr>
        <w:t>Finalmente, aún tengo mis reservas en cuanto a la idea que se tiene que con la introducción de la sentencia anticipada previo a la audiencia inicial se harán más céleres los procesos, pienso que tal vez habrá casos en que sí, pero también habrá casos en que no, pues en mi experiencia, en vigencia el C.P.A.C.A. original los procesos donde se discutían asuntos de puro derecho, luego del traslado de las excepciones, el tramite prácticamente se agotaba en un solo día, esto es el día de la audiencia inicial en la cual de una vez se emitía sentencia, sin que las partes tuvieran que esperar los 20 días</w:t>
      </w:r>
      <w:r w:rsidR="00A50F5C">
        <w:rPr>
          <w:rFonts w:ascii="Arial" w:hAnsi="Arial" w:cs="Arial"/>
          <w:sz w:val="24"/>
          <w:szCs w:val="24"/>
          <w:lang w:val="es-MX"/>
        </w:rPr>
        <w:t xml:space="preserve"> </w:t>
      </w:r>
      <w:r>
        <w:rPr>
          <w:rFonts w:ascii="Arial" w:hAnsi="Arial" w:cs="Arial"/>
          <w:sz w:val="24"/>
          <w:szCs w:val="24"/>
          <w:lang w:val="es-MX"/>
        </w:rPr>
        <w:t xml:space="preserve">a que se refiere la norma para conocer la decisión </w:t>
      </w:r>
      <w:r w:rsidR="00A50F5C">
        <w:rPr>
          <w:rFonts w:ascii="Arial" w:hAnsi="Arial" w:cs="Arial"/>
          <w:sz w:val="24"/>
          <w:szCs w:val="24"/>
          <w:lang w:val="es-MX"/>
        </w:rPr>
        <w:t xml:space="preserve">de fondo, y eso en los casos donde </w:t>
      </w:r>
      <w:r w:rsidR="00A50F5C">
        <w:rPr>
          <w:rFonts w:ascii="Arial" w:hAnsi="Arial" w:cs="Arial"/>
          <w:sz w:val="24"/>
          <w:szCs w:val="24"/>
          <w:lang w:val="es-MX"/>
        </w:rPr>
        <w:t xml:space="preserve">a pesar de la congestión judicial el juez </w:t>
      </w:r>
      <w:r w:rsidR="00A50F5C">
        <w:rPr>
          <w:rFonts w:ascii="Arial" w:hAnsi="Arial" w:cs="Arial"/>
          <w:sz w:val="24"/>
          <w:szCs w:val="24"/>
          <w:lang w:val="es-MX"/>
        </w:rPr>
        <w:t>logre</w:t>
      </w:r>
      <w:bookmarkStart w:id="0" w:name="_GoBack"/>
      <w:bookmarkEnd w:id="0"/>
      <w:r w:rsidR="00A50F5C">
        <w:rPr>
          <w:rFonts w:ascii="Arial" w:hAnsi="Arial" w:cs="Arial"/>
          <w:sz w:val="24"/>
          <w:szCs w:val="24"/>
          <w:lang w:val="es-MX"/>
        </w:rPr>
        <w:t xml:space="preserve"> cumplir </w:t>
      </w:r>
      <w:r w:rsidR="00A50F5C">
        <w:rPr>
          <w:rFonts w:ascii="Arial" w:hAnsi="Arial" w:cs="Arial"/>
          <w:sz w:val="24"/>
          <w:szCs w:val="24"/>
          <w:lang w:val="es-MX"/>
        </w:rPr>
        <w:t>con ese término</w:t>
      </w:r>
      <w:r w:rsidR="00A50F5C">
        <w:rPr>
          <w:rFonts w:ascii="Arial" w:hAnsi="Arial" w:cs="Arial"/>
          <w:sz w:val="24"/>
          <w:szCs w:val="24"/>
          <w:lang w:val="es-MX"/>
        </w:rPr>
        <w:t>.</w:t>
      </w:r>
    </w:p>
    <w:p w:rsidR="00A50F5C" w:rsidRDefault="00A50F5C" w:rsidP="00A50F5C">
      <w:pPr>
        <w:jc w:val="both"/>
        <w:rPr>
          <w:rFonts w:ascii="Arial" w:hAnsi="Arial" w:cs="Arial"/>
          <w:sz w:val="24"/>
          <w:szCs w:val="24"/>
          <w:lang w:val="es-MX"/>
        </w:rPr>
      </w:pPr>
      <w:r>
        <w:rPr>
          <w:rFonts w:ascii="Arial" w:hAnsi="Arial" w:cs="Arial"/>
          <w:sz w:val="24"/>
          <w:szCs w:val="24"/>
          <w:lang w:val="es-MX"/>
        </w:rPr>
        <w:t xml:space="preserve">Por eso considero acertada la posibilidad que estableció la Ley 2080 de que aún en los casos donde sea procedente emitir sentencia anticipada previo a la audiencia inicial, el juez pueda optar por seguir ese trámite o el de la audiencia inicial. </w:t>
      </w:r>
    </w:p>
    <w:p w:rsidR="00CA5ABC" w:rsidRDefault="00CA5ABC" w:rsidP="00594060">
      <w:pPr>
        <w:jc w:val="both"/>
        <w:rPr>
          <w:rFonts w:ascii="Arial" w:hAnsi="Arial" w:cs="Arial"/>
          <w:sz w:val="24"/>
          <w:szCs w:val="24"/>
          <w:lang w:val="es-MX"/>
        </w:rPr>
      </w:pPr>
    </w:p>
    <w:p w:rsidR="006B4E9A" w:rsidRDefault="006B4E9A" w:rsidP="00594060">
      <w:pPr>
        <w:jc w:val="both"/>
        <w:rPr>
          <w:rFonts w:ascii="Arial" w:hAnsi="Arial" w:cs="Arial"/>
          <w:sz w:val="24"/>
          <w:szCs w:val="24"/>
          <w:lang w:val="es-MX"/>
        </w:rPr>
      </w:pPr>
    </w:p>
    <w:p w:rsidR="006B4E9A" w:rsidRDefault="006B4E9A" w:rsidP="00594060">
      <w:pPr>
        <w:jc w:val="both"/>
        <w:rPr>
          <w:rFonts w:ascii="Arial" w:hAnsi="Arial" w:cs="Arial"/>
          <w:sz w:val="24"/>
          <w:szCs w:val="24"/>
          <w:lang w:val="es-MX"/>
        </w:rPr>
      </w:pPr>
    </w:p>
    <w:p w:rsidR="006B4E9A" w:rsidRPr="00594060" w:rsidRDefault="006B4E9A" w:rsidP="00594060">
      <w:pPr>
        <w:jc w:val="both"/>
        <w:rPr>
          <w:rFonts w:ascii="Arial" w:hAnsi="Arial" w:cs="Arial"/>
          <w:sz w:val="24"/>
          <w:szCs w:val="24"/>
          <w:lang w:val="es-MX"/>
        </w:rPr>
      </w:pPr>
    </w:p>
    <w:p w:rsidR="00594060" w:rsidRPr="00594060" w:rsidRDefault="00594060" w:rsidP="00594060">
      <w:pPr>
        <w:jc w:val="both"/>
        <w:rPr>
          <w:rFonts w:ascii="Arial" w:hAnsi="Arial" w:cs="Arial"/>
          <w:sz w:val="24"/>
          <w:szCs w:val="24"/>
          <w:lang w:val="es-MX"/>
        </w:rPr>
      </w:pPr>
    </w:p>
    <w:sectPr w:rsidR="00594060" w:rsidRPr="005940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37"/>
    <w:rsid w:val="00224BD9"/>
    <w:rsid w:val="00594060"/>
    <w:rsid w:val="006B4E9A"/>
    <w:rsid w:val="00783737"/>
    <w:rsid w:val="00A50F5C"/>
    <w:rsid w:val="00B72B96"/>
    <w:rsid w:val="00CA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7AA1"/>
  <w15:chartTrackingRefBased/>
  <w15:docId w15:val="{0F5E25B2-4CD3-467C-9B82-41E900DB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8373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783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97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352</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2021-09-05T22:49:00Z</dcterms:created>
  <dcterms:modified xsi:type="dcterms:W3CDTF">2021-09-06T00:05:00Z</dcterms:modified>
</cp:coreProperties>
</file>