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7B" w:rsidRPr="00625DC4" w:rsidRDefault="008666B6" w:rsidP="0046537B">
      <w:pPr>
        <w:pStyle w:val="Prrafodelista"/>
        <w:spacing w:after="0" w:line="336" w:lineRule="auto"/>
        <w:ind w:left="0"/>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lang w:val="es-ES" w:eastAsia="es-CO"/>
        </w:rPr>
        <w:t>La principal modificación en materia de excepciones con la Ley 2080 de 2021, son las siguientes</w:t>
      </w:r>
      <w:r w:rsidR="0046537B" w:rsidRPr="00625DC4">
        <w:rPr>
          <w:rFonts w:ascii="Arial" w:eastAsia="Times New Roman" w:hAnsi="Arial" w:cs="Arial"/>
          <w:color w:val="000000" w:themeColor="text1"/>
          <w:sz w:val="24"/>
          <w:szCs w:val="24"/>
          <w:lang w:val="es-ES" w:eastAsia="es-CO"/>
        </w:rPr>
        <w:t xml:space="preserve">: </w:t>
      </w:r>
      <w:r>
        <w:rPr>
          <w:rFonts w:ascii="Arial" w:eastAsia="Times New Roman" w:hAnsi="Arial" w:cs="Arial"/>
          <w:color w:val="000000" w:themeColor="text1"/>
          <w:sz w:val="24"/>
          <w:szCs w:val="24"/>
          <w:lang w:val="es-ES" w:eastAsia="es-CO"/>
        </w:rPr>
        <w:t>(i</w:t>
      </w:r>
      <w:r w:rsidR="0046537B" w:rsidRPr="008666B6">
        <w:rPr>
          <w:rFonts w:ascii="Arial" w:eastAsia="Times New Roman" w:hAnsi="Arial" w:cs="Arial"/>
          <w:color w:val="000000" w:themeColor="text1"/>
          <w:sz w:val="24"/>
          <w:szCs w:val="24"/>
          <w:lang w:val="es-ES" w:eastAsia="es-CO"/>
        </w:rPr>
        <w:t>) las excepciones previas se deben resolver antes de la audiencia inicial de conformidad con las reglas del CGP</w:t>
      </w:r>
      <w:r w:rsidR="0046537B" w:rsidRPr="00625DC4">
        <w:rPr>
          <w:rFonts w:ascii="Arial" w:eastAsia="Times New Roman" w:hAnsi="Arial" w:cs="Arial"/>
          <w:b/>
          <w:color w:val="000000" w:themeColor="text1"/>
          <w:sz w:val="24"/>
          <w:szCs w:val="24"/>
          <w:lang w:val="es-ES" w:eastAsia="es-CO"/>
        </w:rPr>
        <w:t xml:space="preserve">; </w:t>
      </w:r>
      <w:r w:rsidRPr="008666B6">
        <w:rPr>
          <w:rFonts w:ascii="Arial" w:eastAsia="Times New Roman" w:hAnsi="Arial" w:cs="Arial"/>
          <w:color w:val="000000" w:themeColor="text1"/>
          <w:sz w:val="24"/>
          <w:szCs w:val="24"/>
          <w:lang w:val="es-ES" w:eastAsia="es-CO"/>
        </w:rPr>
        <w:t>(ii</w:t>
      </w:r>
      <w:r w:rsidR="0046537B" w:rsidRPr="008666B6">
        <w:rPr>
          <w:rFonts w:ascii="Arial" w:eastAsia="Times New Roman" w:hAnsi="Arial" w:cs="Arial"/>
          <w:color w:val="000000" w:themeColor="text1"/>
          <w:sz w:val="24"/>
          <w:szCs w:val="24"/>
          <w:lang w:val="es-ES" w:eastAsia="es-CO"/>
        </w:rPr>
        <w:t xml:space="preserve">) en la audiencia inicial se resuelven solamente las excepciones previas que requieren la práctica de medios de prueba; </w:t>
      </w:r>
      <w:r>
        <w:rPr>
          <w:rFonts w:ascii="Arial" w:eastAsia="Times New Roman" w:hAnsi="Arial" w:cs="Arial"/>
          <w:color w:val="000000" w:themeColor="text1"/>
          <w:sz w:val="24"/>
          <w:szCs w:val="24"/>
          <w:lang w:val="es-ES" w:eastAsia="es-CO"/>
        </w:rPr>
        <w:t>(iii</w:t>
      </w:r>
      <w:r w:rsidR="0046537B" w:rsidRPr="008666B6">
        <w:rPr>
          <w:rFonts w:ascii="Arial" w:eastAsia="Times New Roman" w:hAnsi="Arial" w:cs="Arial"/>
          <w:color w:val="000000" w:themeColor="text1"/>
          <w:sz w:val="24"/>
          <w:szCs w:val="24"/>
          <w:lang w:val="es-ES" w:eastAsia="es-CO"/>
        </w:rPr>
        <w:t xml:space="preserve">) </w:t>
      </w:r>
      <w:r>
        <w:rPr>
          <w:rFonts w:ascii="Arial" w:hAnsi="Arial" w:cs="Arial"/>
          <w:color w:val="000000" w:themeColor="text1"/>
          <w:sz w:val="24"/>
          <w:szCs w:val="24"/>
        </w:rPr>
        <w:t xml:space="preserve">se eliminó </w:t>
      </w:r>
      <w:r w:rsidR="0046537B" w:rsidRPr="00625DC4">
        <w:rPr>
          <w:rFonts w:ascii="Arial" w:hAnsi="Arial" w:cs="Arial"/>
          <w:color w:val="000000" w:themeColor="text1"/>
          <w:sz w:val="24"/>
          <w:szCs w:val="24"/>
        </w:rPr>
        <w:t>el concepto de “</w:t>
      </w:r>
      <w:r w:rsidR="0046537B" w:rsidRPr="00625DC4">
        <w:rPr>
          <w:rFonts w:ascii="Arial" w:hAnsi="Arial" w:cs="Arial"/>
          <w:i/>
          <w:color w:val="000000" w:themeColor="text1"/>
          <w:sz w:val="24"/>
          <w:szCs w:val="24"/>
        </w:rPr>
        <w:t>excepción mixta</w:t>
      </w:r>
      <w:r>
        <w:rPr>
          <w:rFonts w:ascii="Arial" w:hAnsi="Arial" w:cs="Arial"/>
          <w:color w:val="000000" w:themeColor="text1"/>
          <w:sz w:val="24"/>
          <w:szCs w:val="24"/>
        </w:rPr>
        <w:t xml:space="preserve">” y en ese sentido, no </w:t>
      </w:r>
      <w:r w:rsidR="0046537B" w:rsidRPr="00625DC4">
        <w:rPr>
          <w:rFonts w:ascii="Arial" w:hAnsi="Arial" w:cs="Arial"/>
          <w:color w:val="000000" w:themeColor="text1"/>
          <w:sz w:val="24"/>
          <w:szCs w:val="24"/>
        </w:rPr>
        <w:t>es de recibo fallarla dentro de la audiencia inicial</w:t>
      </w:r>
      <w:r>
        <w:rPr>
          <w:rFonts w:ascii="Arial" w:hAnsi="Arial" w:cs="Arial"/>
          <w:color w:val="000000" w:themeColor="text1"/>
          <w:sz w:val="24"/>
          <w:szCs w:val="24"/>
        </w:rPr>
        <w:t xml:space="preserve"> y tampoco antes de fijar su fecha, tal como lo contemplaba el Decreto 806 de 2020</w:t>
      </w:r>
      <w:r w:rsidR="0046537B" w:rsidRPr="00625DC4">
        <w:rPr>
          <w:rFonts w:ascii="Arial" w:hAnsi="Arial" w:cs="Arial"/>
          <w:color w:val="000000" w:themeColor="text1"/>
          <w:sz w:val="24"/>
          <w:szCs w:val="24"/>
        </w:rPr>
        <w:t>.</w:t>
      </w:r>
      <w:r>
        <w:rPr>
          <w:rFonts w:ascii="Arial" w:hAnsi="Arial" w:cs="Arial"/>
          <w:color w:val="000000" w:themeColor="text1"/>
          <w:sz w:val="24"/>
          <w:szCs w:val="24"/>
        </w:rPr>
        <w:t xml:space="preserve"> En ese orden,</w:t>
      </w:r>
      <w:r w:rsidR="0046537B" w:rsidRPr="00625DC4">
        <w:rPr>
          <w:rFonts w:ascii="Arial" w:hAnsi="Arial" w:cs="Arial"/>
          <w:color w:val="000000" w:themeColor="text1"/>
          <w:sz w:val="24"/>
          <w:szCs w:val="24"/>
        </w:rPr>
        <w:t xml:space="preserve"> ya no se resuelven mediante auto, sino mediante sentencia</w:t>
      </w:r>
      <w:r>
        <w:rPr>
          <w:rFonts w:ascii="Arial" w:hAnsi="Arial" w:cs="Arial"/>
          <w:color w:val="000000" w:themeColor="text1"/>
          <w:sz w:val="24"/>
          <w:szCs w:val="24"/>
        </w:rPr>
        <w:t xml:space="preserve"> anticipada </w:t>
      </w:r>
      <w:r w:rsidR="0046537B" w:rsidRPr="00625DC4">
        <w:rPr>
          <w:rFonts w:ascii="Arial" w:hAnsi="Arial" w:cs="Arial"/>
          <w:color w:val="000000" w:themeColor="text1"/>
          <w:sz w:val="24"/>
          <w:szCs w:val="24"/>
        </w:rPr>
        <w:t xml:space="preserve">de conformidad con el artículo 182 </w:t>
      </w:r>
      <w:r w:rsidRPr="00625DC4">
        <w:rPr>
          <w:rFonts w:ascii="Arial" w:hAnsi="Arial" w:cs="Arial"/>
          <w:color w:val="000000" w:themeColor="text1"/>
          <w:sz w:val="24"/>
          <w:szCs w:val="24"/>
        </w:rPr>
        <w:t>A,</w:t>
      </w:r>
      <w:r>
        <w:rPr>
          <w:rFonts w:ascii="Arial" w:hAnsi="Arial" w:cs="Arial"/>
          <w:color w:val="000000" w:themeColor="text1"/>
          <w:sz w:val="24"/>
          <w:szCs w:val="24"/>
        </w:rPr>
        <w:t xml:space="preserve"> </w:t>
      </w:r>
      <w:r w:rsidRPr="00625DC4">
        <w:rPr>
          <w:rFonts w:ascii="Arial" w:hAnsi="Arial" w:cs="Arial"/>
          <w:color w:val="000000" w:themeColor="text1"/>
          <w:sz w:val="24"/>
          <w:szCs w:val="24"/>
        </w:rPr>
        <w:t>si</w:t>
      </w:r>
      <w:r w:rsidR="0046537B" w:rsidRPr="00625DC4">
        <w:rPr>
          <w:rFonts w:ascii="Arial" w:hAnsi="Arial" w:cs="Arial"/>
          <w:color w:val="000000" w:themeColor="text1"/>
          <w:sz w:val="24"/>
          <w:szCs w:val="24"/>
        </w:rPr>
        <w:t xml:space="preserve"> se encuentra</w:t>
      </w:r>
      <w:r w:rsidR="0002086C">
        <w:rPr>
          <w:rFonts w:ascii="Arial" w:hAnsi="Arial" w:cs="Arial"/>
          <w:color w:val="000000" w:themeColor="text1"/>
          <w:sz w:val="24"/>
          <w:szCs w:val="24"/>
        </w:rPr>
        <w:t>n</w:t>
      </w:r>
      <w:r w:rsidR="0046537B" w:rsidRPr="00625DC4">
        <w:rPr>
          <w:rFonts w:ascii="Arial" w:hAnsi="Arial" w:cs="Arial"/>
          <w:color w:val="000000" w:themeColor="text1"/>
          <w:sz w:val="24"/>
          <w:szCs w:val="24"/>
        </w:rPr>
        <w:t xml:space="preserve"> demostradas antes de la sentencia</w:t>
      </w:r>
      <w:r>
        <w:rPr>
          <w:rFonts w:ascii="Arial" w:hAnsi="Arial" w:cs="Arial"/>
          <w:color w:val="000000" w:themeColor="text1"/>
          <w:sz w:val="24"/>
          <w:szCs w:val="24"/>
        </w:rPr>
        <w:t xml:space="preserve"> de fondo</w:t>
      </w:r>
      <w:r w:rsidR="0046537B" w:rsidRPr="00625DC4">
        <w:rPr>
          <w:rFonts w:ascii="Arial" w:hAnsi="Arial" w:cs="Arial"/>
          <w:color w:val="000000" w:themeColor="text1"/>
          <w:sz w:val="24"/>
          <w:szCs w:val="24"/>
        </w:rPr>
        <w:t>.</w:t>
      </w:r>
    </w:p>
    <w:p w:rsidR="0046537B" w:rsidRPr="00625DC4" w:rsidRDefault="0046537B" w:rsidP="0046537B">
      <w:pPr>
        <w:spacing w:after="0" w:line="336" w:lineRule="auto"/>
        <w:jc w:val="both"/>
        <w:rPr>
          <w:rFonts w:ascii="Arial" w:hAnsi="Arial" w:cs="Arial"/>
          <w:color w:val="000000" w:themeColor="text1"/>
          <w:sz w:val="24"/>
          <w:szCs w:val="24"/>
        </w:rPr>
      </w:pPr>
    </w:p>
    <w:p w:rsidR="0002086C" w:rsidRPr="00625DC4" w:rsidRDefault="0002086C" w:rsidP="0002086C">
      <w:pPr>
        <w:spacing w:after="0" w:line="360" w:lineRule="auto"/>
        <w:jc w:val="both"/>
        <w:rPr>
          <w:rFonts w:ascii="Arial" w:hAnsi="Arial" w:cs="Arial"/>
          <w:color w:val="000000" w:themeColor="text1"/>
          <w:sz w:val="24"/>
          <w:szCs w:val="24"/>
        </w:rPr>
      </w:pPr>
      <w:r w:rsidRPr="0002086C">
        <w:rPr>
          <w:rFonts w:ascii="Arial" w:hAnsi="Arial" w:cs="Arial"/>
          <w:color w:val="000000" w:themeColor="text1"/>
          <w:sz w:val="24"/>
          <w:szCs w:val="24"/>
        </w:rPr>
        <w:t>A lo indicado, ha de señalarse igualmente que frente a los procesos que cursan</w:t>
      </w:r>
      <w:r>
        <w:rPr>
          <w:rFonts w:ascii="Arial" w:hAnsi="Arial" w:cs="Arial"/>
          <w:b/>
          <w:color w:val="000000" w:themeColor="text1"/>
          <w:sz w:val="24"/>
          <w:szCs w:val="24"/>
        </w:rPr>
        <w:t xml:space="preserve"> </w:t>
      </w:r>
      <w:r>
        <w:rPr>
          <w:rFonts w:ascii="Arial" w:hAnsi="Arial" w:cs="Arial"/>
          <w:color w:val="000000" w:themeColor="text1"/>
          <w:sz w:val="24"/>
          <w:szCs w:val="24"/>
        </w:rPr>
        <w:t>ante la jurisdicción contenciosa administrativa,</w:t>
      </w:r>
      <w:r w:rsidRPr="00625DC4">
        <w:rPr>
          <w:rFonts w:ascii="Arial" w:hAnsi="Arial" w:cs="Arial"/>
          <w:color w:val="000000" w:themeColor="text1"/>
          <w:sz w:val="24"/>
          <w:szCs w:val="24"/>
        </w:rPr>
        <w:t xml:space="preserve"> la caducidad </w:t>
      </w:r>
      <w:r>
        <w:rPr>
          <w:rFonts w:ascii="Arial" w:hAnsi="Arial" w:cs="Arial"/>
          <w:color w:val="000000" w:themeColor="text1"/>
          <w:sz w:val="24"/>
          <w:szCs w:val="24"/>
        </w:rPr>
        <w:t>sigue siendo</w:t>
      </w:r>
      <w:r w:rsidRPr="00625DC4">
        <w:rPr>
          <w:rFonts w:ascii="Arial" w:hAnsi="Arial" w:cs="Arial"/>
          <w:color w:val="000000" w:themeColor="text1"/>
          <w:sz w:val="24"/>
          <w:szCs w:val="24"/>
        </w:rPr>
        <w:t xml:space="preserve"> una causal de rechazo de la demanda (artículo 169 CPACA).</w:t>
      </w:r>
      <w:r>
        <w:rPr>
          <w:rFonts w:ascii="Arial" w:hAnsi="Arial" w:cs="Arial"/>
          <w:color w:val="000000" w:themeColor="text1"/>
          <w:sz w:val="24"/>
          <w:szCs w:val="24"/>
        </w:rPr>
        <w:t xml:space="preserve"> De manera que</w:t>
      </w:r>
      <w:r w:rsidRPr="00625DC4">
        <w:rPr>
          <w:rFonts w:ascii="Arial" w:hAnsi="Arial" w:cs="Arial"/>
          <w:color w:val="000000" w:themeColor="text1"/>
          <w:sz w:val="24"/>
          <w:szCs w:val="24"/>
        </w:rPr>
        <w:t>: (i) si se está en la fase escrita (etapa de la admisión</w:t>
      </w:r>
      <w:r>
        <w:rPr>
          <w:rFonts w:ascii="Arial" w:hAnsi="Arial" w:cs="Arial"/>
          <w:color w:val="000000" w:themeColor="text1"/>
          <w:sz w:val="24"/>
          <w:szCs w:val="24"/>
        </w:rPr>
        <w:t>) y se observa por el juez la existencia de la</w:t>
      </w:r>
      <w:r w:rsidRPr="00625DC4">
        <w:rPr>
          <w:rFonts w:ascii="Arial" w:hAnsi="Arial" w:cs="Arial"/>
          <w:color w:val="000000" w:themeColor="text1"/>
          <w:sz w:val="24"/>
          <w:szCs w:val="24"/>
        </w:rPr>
        <w:t xml:space="preserve"> caducidad</w:t>
      </w:r>
      <w:r>
        <w:rPr>
          <w:rFonts w:ascii="Arial" w:hAnsi="Arial" w:cs="Arial"/>
          <w:color w:val="000000" w:themeColor="text1"/>
          <w:sz w:val="24"/>
          <w:szCs w:val="24"/>
        </w:rPr>
        <w:t xml:space="preserve"> de la acción contenciosa administrativa</w:t>
      </w:r>
      <w:r w:rsidRPr="00625DC4">
        <w:rPr>
          <w:rFonts w:ascii="Arial" w:hAnsi="Arial" w:cs="Arial"/>
          <w:color w:val="000000" w:themeColor="text1"/>
          <w:sz w:val="24"/>
          <w:szCs w:val="24"/>
        </w:rPr>
        <w:t xml:space="preserve"> (sin que se requiera práctica de medios de prueba)</w:t>
      </w:r>
      <w:r>
        <w:rPr>
          <w:rFonts w:ascii="Arial" w:hAnsi="Arial" w:cs="Arial"/>
          <w:color w:val="000000" w:themeColor="text1"/>
          <w:sz w:val="24"/>
          <w:szCs w:val="24"/>
        </w:rPr>
        <w:t xml:space="preserve">, al funcionario le corresponde, rechazar la demanda; en consecuencia, no </w:t>
      </w:r>
      <w:r w:rsidRPr="00625DC4">
        <w:rPr>
          <w:rFonts w:ascii="Arial" w:hAnsi="Arial" w:cs="Arial"/>
          <w:color w:val="000000" w:themeColor="text1"/>
          <w:sz w:val="24"/>
          <w:szCs w:val="24"/>
        </w:rPr>
        <w:t xml:space="preserve">es de recibo proferir sentencia </w:t>
      </w:r>
      <w:r>
        <w:rPr>
          <w:rFonts w:ascii="Arial" w:hAnsi="Arial" w:cs="Arial"/>
          <w:color w:val="000000" w:themeColor="text1"/>
          <w:sz w:val="24"/>
          <w:szCs w:val="24"/>
        </w:rPr>
        <w:t>anticipada, pues no se ha trabado la Litis</w:t>
      </w:r>
      <w:r w:rsidRPr="00625DC4">
        <w:rPr>
          <w:rFonts w:ascii="Arial" w:hAnsi="Arial" w:cs="Arial"/>
          <w:color w:val="000000" w:themeColor="text1"/>
          <w:sz w:val="24"/>
          <w:szCs w:val="24"/>
        </w:rPr>
        <w:t>; (ii) si se admitió la dem</w:t>
      </w:r>
      <w:r w:rsidR="00E352A8">
        <w:rPr>
          <w:rFonts w:ascii="Arial" w:hAnsi="Arial" w:cs="Arial"/>
          <w:color w:val="000000" w:themeColor="text1"/>
          <w:sz w:val="24"/>
          <w:szCs w:val="24"/>
        </w:rPr>
        <w:t xml:space="preserve">anda y se propone la excepción, lo procedente es </w:t>
      </w:r>
      <w:r w:rsidRPr="00625DC4">
        <w:rPr>
          <w:rFonts w:ascii="Arial" w:hAnsi="Arial" w:cs="Arial"/>
          <w:color w:val="000000" w:themeColor="text1"/>
          <w:sz w:val="24"/>
          <w:szCs w:val="24"/>
        </w:rPr>
        <w:t xml:space="preserve">dictar sentencia anticipada </w:t>
      </w:r>
      <w:r w:rsidR="00E352A8">
        <w:rPr>
          <w:rFonts w:ascii="Arial" w:hAnsi="Arial" w:cs="Arial"/>
          <w:color w:val="000000" w:themeColor="text1"/>
          <w:sz w:val="24"/>
          <w:szCs w:val="24"/>
        </w:rPr>
        <w:t>(cuando se observe probada) y en cualquier etapa del proceso; (iii) de igual manera, en la sentencia de fondo, cuando se haya surtido la etapa probatoria, de no haberse encontrado probada antes</w:t>
      </w:r>
      <w:r w:rsidRPr="00625DC4">
        <w:rPr>
          <w:rFonts w:ascii="Arial" w:hAnsi="Arial" w:cs="Arial"/>
          <w:color w:val="000000" w:themeColor="text1"/>
          <w:sz w:val="24"/>
          <w:szCs w:val="24"/>
        </w:rPr>
        <w:t>.</w:t>
      </w:r>
    </w:p>
    <w:p w:rsidR="0002086C" w:rsidRPr="00625DC4" w:rsidRDefault="0002086C" w:rsidP="0002086C">
      <w:pPr>
        <w:spacing w:after="0" w:line="360" w:lineRule="auto"/>
        <w:jc w:val="both"/>
        <w:rPr>
          <w:rFonts w:ascii="Arial" w:hAnsi="Arial" w:cs="Arial"/>
          <w:color w:val="000000" w:themeColor="text1"/>
          <w:sz w:val="24"/>
          <w:szCs w:val="24"/>
        </w:rPr>
      </w:pPr>
      <w:bookmarkStart w:id="0" w:name="_GoBack"/>
      <w:bookmarkEnd w:id="0"/>
    </w:p>
    <w:p w:rsidR="0002086C" w:rsidRPr="00543225" w:rsidRDefault="00E352A8" w:rsidP="0002086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Lo anterior significa, </w:t>
      </w:r>
      <w:r w:rsidRPr="00625DC4">
        <w:rPr>
          <w:rFonts w:ascii="Arial" w:hAnsi="Arial" w:cs="Arial"/>
          <w:color w:val="000000" w:themeColor="text1"/>
          <w:sz w:val="24"/>
          <w:szCs w:val="24"/>
        </w:rPr>
        <w:t>diferentes</w:t>
      </w:r>
      <w:r w:rsidR="0002086C" w:rsidRPr="00625DC4">
        <w:rPr>
          <w:rFonts w:ascii="Arial" w:hAnsi="Arial" w:cs="Arial"/>
          <w:color w:val="000000" w:themeColor="text1"/>
          <w:sz w:val="24"/>
          <w:szCs w:val="24"/>
        </w:rPr>
        <w:t xml:space="preserve"> oportunidades y providencias judiciales para </w:t>
      </w:r>
      <w:r>
        <w:rPr>
          <w:rFonts w:ascii="Arial" w:hAnsi="Arial" w:cs="Arial"/>
          <w:color w:val="000000" w:themeColor="text1"/>
          <w:sz w:val="24"/>
          <w:szCs w:val="24"/>
        </w:rPr>
        <w:t>una misma definición</w:t>
      </w:r>
      <w:r w:rsidR="0002086C" w:rsidRPr="00625DC4">
        <w:rPr>
          <w:rFonts w:ascii="Arial" w:hAnsi="Arial" w:cs="Arial"/>
          <w:color w:val="000000" w:themeColor="text1"/>
          <w:sz w:val="24"/>
          <w:szCs w:val="24"/>
        </w:rPr>
        <w:t>: (i) mediante auto como fundamento del rechazo de la demanda; (</w:t>
      </w:r>
      <w:r w:rsidR="0002086C" w:rsidRPr="00543225">
        <w:rPr>
          <w:rFonts w:ascii="Arial" w:hAnsi="Arial" w:cs="Arial"/>
          <w:color w:val="000000" w:themeColor="text1"/>
          <w:sz w:val="24"/>
          <w:szCs w:val="24"/>
        </w:rPr>
        <w:t>ii) mediante sentencia anticipada; (iii) mediante sentencia de fondo.</w:t>
      </w:r>
    </w:p>
    <w:p w:rsidR="0002086C" w:rsidRPr="00543225" w:rsidRDefault="0002086C" w:rsidP="0002086C">
      <w:pPr>
        <w:spacing w:after="0" w:line="360" w:lineRule="auto"/>
        <w:jc w:val="both"/>
        <w:rPr>
          <w:rFonts w:ascii="Arial" w:hAnsi="Arial" w:cs="Arial"/>
          <w:color w:val="000000" w:themeColor="text1"/>
          <w:sz w:val="24"/>
          <w:szCs w:val="24"/>
        </w:rPr>
      </w:pPr>
    </w:p>
    <w:p w:rsidR="0002086C" w:rsidRPr="00543225" w:rsidRDefault="00543225" w:rsidP="0002086C">
      <w:pPr>
        <w:pStyle w:val="Prrafodelista"/>
        <w:spacing w:after="0" w:line="336" w:lineRule="auto"/>
        <w:ind w:left="0"/>
        <w:contextualSpacing/>
        <w:jc w:val="both"/>
        <w:rPr>
          <w:rFonts w:ascii="Arial" w:eastAsia="Times New Roman" w:hAnsi="Arial" w:cs="Arial"/>
          <w:color w:val="000000" w:themeColor="text1"/>
          <w:sz w:val="24"/>
          <w:szCs w:val="24"/>
          <w:lang w:val="es-ES" w:eastAsia="es-CO"/>
        </w:rPr>
      </w:pPr>
      <w:r w:rsidRPr="00543225">
        <w:rPr>
          <w:rFonts w:ascii="Arial" w:hAnsi="Arial" w:cs="Arial"/>
          <w:color w:val="000000" w:themeColor="text1"/>
          <w:sz w:val="24"/>
          <w:szCs w:val="24"/>
        </w:rPr>
        <w:t xml:space="preserve">Otro aspecto, es que el </w:t>
      </w:r>
      <w:r w:rsidR="0002086C" w:rsidRPr="00543225">
        <w:rPr>
          <w:rFonts w:ascii="Arial" w:hAnsi="Arial" w:cs="Arial"/>
          <w:color w:val="000000" w:themeColor="text1"/>
          <w:sz w:val="24"/>
          <w:szCs w:val="24"/>
        </w:rPr>
        <w:t>anterior artículo 180 del CPACA, de manera expresa facultaba al juez o magistrado ponente para resolver las excepciones previas, aún de oficio.</w:t>
      </w:r>
      <w:r w:rsidR="0002086C" w:rsidRPr="00543225">
        <w:rPr>
          <w:rFonts w:ascii="Arial" w:eastAsia="Times New Roman" w:hAnsi="Arial" w:cs="Arial"/>
          <w:color w:val="000000" w:themeColor="text1"/>
          <w:sz w:val="24"/>
          <w:szCs w:val="24"/>
          <w:lang w:val="es-ES" w:eastAsia="es-CO"/>
        </w:rPr>
        <w:t xml:space="preserve"> Con la expedición de la Ley 2080 de 2021, se consagra dentro de la nueva lógica procesal que, en esa audiencia inicial, se resolverán las excepciones previas pendientes de decidir (las que requirieron de práctica de medios de prueba), pero no se consagra lo relacionado con la facultad oficiosa para decidir excepciones previas, dentro de la audiencia inicial, al respecto uno podría argumentar, que dicha taxatividad no limita  al funcionario para un pronunciamiento de oficio, especialmente frente aquellas excepciones, que no son propias de las partes. </w:t>
      </w:r>
    </w:p>
    <w:p w:rsidR="00B56910" w:rsidRPr="00543225" w:rsidRDefault="00B56910">
      <w:pPr>
        <w:rPr>
          <w:color w:val="000000" w:themeColor="text1"/>
        </w:rPr>
      </w:pPr>
    </w:p>
    <w:sectPr w:rsidR="00B56910" w:rsidRPr="00543225" w:rsidSect="00FA42FE">
      <w:pgSz w:w="12247" w:h="18711"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E0" w:rsidRDefault="00CA1CE0" w:rsidP="0002086C">
      <w:pPr>
        <w:spacing w:after="0" w:line="240" w:lineRule="auto"/>
      </w:pPr>
      <w:r>
        <w:separator/>
      </w:r>
    </w:p>
  </w:endnote>
  <w:endnote w:type="continuationSeparator" w:id="0">
    <w:p w:rsidR="00CA1CE0" w:rsidRDefault="00CA1CE0" w:rsidP="0002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E0" w:rsidRDefault="00CA1CE0" w:rsidP="0002086C">
      <w:pPr>
        <w:spacing w:after="0" w:line="240" w:lineRule="auto"/>
      </w:pPr>
      <w:r>
        <w:separator/>
      </w:r>
    </w:p>
  </w:footnote>
  <w:footnote w:type="continuationSeparator" w:id="0">
    <w:p w:rsidR="00CA1CE0" w:rsidRDefault="00CA1CE0" w:rsidP="00020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687"/>
    <w:multiLevelType w:val="hybridMultilevel"/>
    <w:tmpl w:val="FA9607C2"/>
    <w:lvl w:ilvl="0" w:tplc="D7961076">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7B"/>
    <w:rsid w:val="0002086C"/>
    <w:rsid w:val="00265C3F"/>
    <w:rsid w:val="0046537B"/>
    <w:rsid w:val="00543225"/>
    <w:rsid w:val="008666B6"/>
    <w:rsid w:val="009370EA"/>
    <w:rsid w:val="009F5274"/>
    <w:rsid w:val="00AC4F9F"/>
    <w:rsid w:val="00B56910"/>
    <w:rsid w:val="00CA1CE0"/>
    <w:rsid w:val="00E352A8"/>
    <w:rsid w:val="00FA4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7D7A"/>
  <w15:chartTrackingRefBased/>
  <w15:docId w15:val="{EF22AE99-A29D-460A-8E55-826C31C5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37B"/>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
    <w:basedOn w:val="Normal"/>
    <w:link w:val="PrrafodelistaCar"/>
    <w:uiPriority w:val="34"/>
    <w:qFormat/>
    <w:rsid w:val="0046537B"/>
    <w:pPr>
      <w:ind w:left="708"/>
    </w:pPr>
  </w:style>
  <w:style w:type="character" w:customStyle="1" w:styleId="PrrafodelistaCar">
    <w:name w:val="Párrafo de lista Car"/>
    <w:aliases w:val="Footnote Car"/>
    <w:link w:val="Prrafodelista"/>
    <w:uiPriority w:val="34"/>
    <w:locked/>
    <w:rsid w:val="0046537B"/>
    <w:rPr>
      <w:rFonts w:ascii="Calibri" w:eastAsia="Calibri" w:hAnsi="Calibri" w:cs="Times New Roman"/>
      <w:lang w:val="es-ES_tradnl"/>
    </w:rPr>
  </w:style>
  <w:style w:type="character" w:customStyle="1" w:styleId="TextonotapieCar">
    <w:name w:val="Texto nota pie Car"/>
    <w:aliases w:val="Footnote Text Char Char Char Char Char Car1,Footnote Text Char Char Char Char Car1,Footnote reference Car1,FA Fu Car1,MI NOTA PIE DE PÁGINA (TEXTO) Car,Footnote Text Cha Car1,Footnote Text Char Char Char Car1,FA Fußnotentext Car1"/>
    <w:link w:val="Textonotapie"/>
    <w:uiPriority w:val="99"/>
    <w:qFormat/>
    <w:locked/>
    <w:rsid w:val="0002086C"/>
    <w:rPr>
      <w:lang w:val="x-none" w:eastAsia="x-none"/>
    </w:rPr>
  </w:style>
  <w:style w:type="paragraph" w:styleId="Textonotapie">
    <w:name w:val="footnote text"/>
    <w:aliases w:val="Footnote Text Char Char Char Char Char,Footnote Text Char Char Char Char,Footnote reference,FA Fu,MI NOTA PIE DE PÁGINA (TEXTO),Footnote Text Cha,Footnote Text Char Char Char,FA Fußnotentext,FA Fuﬂnotentext,Footnote Text Char Char, C,ft,C"/>
    <w:basedOn w:val="Normal"/>
    <w:link w:val="TextonotapieCar"/>
    <w:uiPriority w:val="99"/>
    <w:unhideWhenUsed/>
    <w:qFormat/>
    <w:rsid w:val="0002086C"/>
    <w:rPr>
      <w:rFonts w:asciiTheme="minorHAnsi" w:eastAsiaTheme="minorHAnsi" w:hAnsiTheme="minorHAnsi" w:cstheme="minorBidi"/>
      <w:lang w:val="x-none" w:eastAsia="x-none"/>
    </w:rPr>
  </w:style>
  <w:style w:type="character" w:customStyle="1" w:styleId="TextonotapieCar1">
    <w:name w:val="Texto nota pie Car1"/>
    <w:basedOn w:val="Fuentedeprrafopredeter"/>
    <w:uiPriority w:val="99"/>
    <w:semiHidden/>
    <w:rsid w:val="0002086C"/>
    <w:rPr>
      <w:rFonts w:ascii="Calibri" w:eastAsia="Calibri" w:hAnsi="Calibri" w:cs="Times New Roman"/>
      <w:sz w:val="20"/>
      <w:szCs w:val="20"/>
      <w:lang w:val="es-ES_tradnl"/>
    </w:rPr>
  </w:style>
  <w:style w:type="character" w:styleId="Refdenotaalpie">
    <w:name w:val="footnote reference"/>
    <w:aliases w:val="Ref. de nota al pie 2,Texto de nota al pie,referencia nota al pie,Pie de Página,FC,Nota de pie,Texto nota al pie,Appel note de bas de page,Texto de nota al p,Pie de Pàgina,F,Pie de P_gin,Pie de P_,Texto de nota al pi,Pie de P_g,f,4_G"/>
    <w:link w:val="Appelnotedebasde"/>
    <w:uiPriority w:val="99"/>
    <w:unhideWhenUsed/>
    <w:qFormat/>
    <w:rsid w:val="0002086C"/>
    <w:rPr>
      <w:rFonts w:ascii="Times New Roman" w:hAnsi="Times New Roman" w:cs="Times New Roman"/>
      <w:vertAlign w:val="superscript"/>
    </w:rPr>
  </w:style>
  <w:style w:type="paragraph" w:customStyle="1" w:styleId="Appelnotedebasde">
    <w:name w:val="Appel note de bas de..."/>
    <w:basedOn w:val="Normal"/>
    <w:link w:val="Refdenotaalpie"/>
    <w:uiPriority w:val="99"/>
    <w:rsid w:val="0002086C"/>
    <w:pPr>
      <w:spacing w:after="160" w:line="240" w:lineRule="exact"/>
    </w:pPr>
    <w:rPr>
      <w:rFonts w:ascii="Times New Roman" w:eastAsiaTheme="minorHAnsi" w:hAnsi="Times New Roman"/>
      <w:vertAlign w:val="superscript"/>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Yolanda Santafe Alfonso</dc:creator>
  <cp:keywords/>
  <dc:description/>
  <cp:lastModifiedBy>Lidia Yolanda Santafe Alfonso</cp:lastModifiedBy>
  <cp:revision>1</cp:revision>
  <dcterms:created xsi:type="dcterms:W3CDTF">2021-08-18T18:25:00Z</dcterms:created>
  <dcterms:modified xsi:type="dcterms:W3CDTF">2021-08-18T21:16:00Z</dcterms:modified>
</cp:coreProperties>
</file>