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9716" w14:textId="77777777" w:rsidR="001B5952" w:rsidRPr="001F2D25" w:rsidRDefault="001B5952" w:rsidP="001B5952">
      <w:pPr>
        <w:rPr>
          <w:rFonts w:ascii="Arial" w:hAnsi="Arial" w:cs="Arial"/>
        </w:rPr>
      </w:pPr>
    </w:p>
    <w:p w14:paraId="350B20AD" w14:textId="77777777" w:rsidR="001B5952" w:rsidRDefault="001B5952" w:rsidP="001B5952">
      <w:pPr>
        <w:pStyle w:val="NormalWeb"/>
      </w:pPr>
      <w:r>
        <w:t xml:space="preserve">La Sentencia anticipada, le da vida a la figura de la </w:t>
      </w:r>
      <w:r>
        <w:rPr>
          <w:rStyle w:val="Textoennegrita"/>
        </w:rPr>
        <w:t>SETENCIA ANTICIPADA</w:t>
      </w:r>
      <w:r>
        <w:t xml:space="preserve"> existente de marras en nuestro sistema procesal, en aras que </w:t>
      </w:r>
      <w:proofErr w:type="spellStart"/>
      <w:r>
        <w:t>que</w:t>
      </w:r>
      <w:proofErr w:type="spellEnd"/>
      <w:r>
        <w:t xml:space="preserve"> con esta figura se logre una justicia administrativa ágil y pronta. </w:t>
      </w:r>
    </w:p>
    <w:p w14:paraId="06F16617" w14:textId="77777777" w:rsidR="001B5952" w:rsidRDefault="001B5952" w:rsidP="001B5952">
      <w:pPr>
        <w:pStyle w:val="NormalWeb"/>
      </w:pPr>
    </w:p>
    <w:p w14:paraId="75E640A4" w14:textId="77777777" w:rsidR="001B5952" w:rsidRDefault="001B5952" w:rsidP="001B5952">
      <w:pPr>
        <w:pStyle w:val="NormalWeb"/>
      </w:pPr>
      <w:r>
        <w:t xml:space="preserve">Para eso el </w:t>
      </w:r>
      <w:proofErr w:type="spellStart"/>
      <w:r>
        <w:t>Dr</w:t>
      </w:r>
      <w:proofErr w:type="spellEnd"/>
      <w:r>
        <w:t xml:space="preserve"> Martín </w:t>
      </w:r>
      <w:proofErr w:type="spellStart"/>
      <w:r>
        <w:t>Bermudez</w:t>
      </w:r>
      <w:proofErr w:type="spellEnd"/>
      <w:r>
        <w:t xml:space="preserve">, tiene toda la razón en que la Ley 2080 nos trae nuevamente un proceso contencioso administrativo escritural, bajo la base de que el sistema oral en la vida real ha generado sendas demoras en la actuación procesal. Esta norma procesal viene a corregir, aquellos yerros o falencias de la Ley 1437 primigenia, con el fin </w:t>
      </w:r>
      <w:proofErr w:type="spellStart"/>
      <w:proofErr w:type="gramStart"/>
      <w:r>
        <w:t>e</w:t>
      </w:r>
      <w:proofErr w:type="spellEnd"/>
      <w:proofErr w:type="gramEnd"/>
      <w:r>
        <w:t xml:space="preserve"> evitar la mora judicial. </w:t>
      </w:r>
    </w:p>
    <w:p w14:paraId="1D4ACDF0" w14:textId="77777777" w:rsidR="001B5952" w:rsidRDefault="001B5952" w:rsidP="001B5952">
      <w:pPr>
        <w:pStyle w:val="NormalWeb"/>
      </w:pPr>
    </w:p>
    <w:p w14:paraId="59CB3B7D" w14:textId="77777777" w:rsidR="001B5952" w:rsidRDefault="001B5952" w:rsidP="001B5952">
      <w:pPr>
        <w:pStyle w:val="NormalWeb"/>
      </w:pPr>
      <w:r>
        <w:t>Entonces, no se trata de una retroceso para la jurisdicción contencioso administrativa, sino un real avance, en especial para poder desarrollar de manera eficaz las acciones de nulidad y nulidad de restablecimiento, en las cuales en principio solamente requieren un juicio de legalidad del acto administrativo, y en las cuales por regla general las pruebas son de tipo documental, situación que no se descarta en los medio de control de reparación directa y de controversias contractuales. </w:t>
      </w:r>
    </w:p>
    <w:p w14:paraId="64B6194D" w14:textId="77777777" w:rsidR="001B5952" w:rsidRDefault="001B5952" w:rsidP="001B5952">
      <w:pPr>
        <w:pStyle w:val="NormalWeb"/>
      </w:pPr>
      <w:r>
        <w:t>Para destacar de la exposición, es lo relacionado con que con la Ley 2080 las excepciones se deciden antes del juicio, salvo que sean necesario decretar pruebas para decidirlas, lo cual se realizara en la audiencia inicial de que trata el artículo 180 de la Ley 1437 de 2011. </w:t>
      </w:r>
    </w:p>
    <w:p w14:paraId="38F59895" w14:textId="77777777" w:rsidR="001B5952" w:rsidRDefault="001B5952" w:rsidP="001B5952">
      <w:pPr>
        <w:pStyle w:val="NormalWeb"/>
      </w:pPr>
    </w:p>
    <w:p w14:paraId="40EB5E67" w14:textId="77777777" w:rsidR="001B5952" w:rsidRDefault="001B5952" w:rsidP="001B5952">
      <w:pPr>
        <w:pStyle w:val="NormalWeb"/>
      </w:pPr>
      <w:r>
        <w:t>Así mismo, me parece de alta importancia la referencia a los traslados de las excepciones, en especial en la aplicación del artículo 201A, en donde se surte este traslado, cuando la parte demandada remite directamente el escrito que contiene las excepciones y no debe hacerse por Secretaría. </w:t>
      </w:r>
    </w:p>
    <w:p w14:paraId="55E96366" w14:textId="77777777" w:rsidR="001B5952" w:rsidRDefault="001B5952"/>
    <w:sectPr w:rsidR="001B59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52"/>
    <w:rsid w:val="001B59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F06B"/>
  <w15:chartTrackingRefBased/>
  <w15:docId w15:val="{224F80C3-5C12-4D0C-813A-3124928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952"/>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595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B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1398</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Medina Silva</dc:creator>
  <cp:keywords/>
  <dc:description/>
  <cp:lastModifiedBy>Edgar Medina Silva</cp:lastModifiedBy>
  <cp:revision>1</cp:revision>
  <dcterms:created xsi:type="dcterms:W3CDTF">2021-08-31T03:58:00Z</dcterms:created>
  <dcterms:modified xsi:type="dcterms:W3CDTF">2021-08-31T03:58:00Z</dcterms:modified>
</cp:coreProperties>
</file>